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lef" w:eastAsiaTheme="majorEastAsia" w:hAnsi="Alef" w:cs="Alef"/>
          <w:caps/>
          <w:sz w:val="24"/>
          <w:szCs w:val="24"/>
          <w:rtl/>
        </w:rPr>
        <w:id w:val="131909489"/>
        <w:docPartObj>
          <w:docPartGallery w:val="Cover Pages"/>
          <w:docPartUnique/>
        </w:docPartObj>
      </w:sdtPr>
      <w:sdtEndPr>
        <w:rPr>
          <w:caps w:val="0"/>
          <w:rtl w:val="0"/>
        </w:rPr>
      </w:sdtEndPr>
      <w:sdtContent>
        <w:tbl>
          <w:tblPr>
            <w:bidiVisual/>
            <w:tblW w:w="5203" w:type="pct"/>
            <w:jc w:val="center"/>
            <w:tblLook w:val="04A0" w:firstRow="1" w:lastRow="0" w:firstColumn="1" w:lastColumn="0" w:noHBand="0" w:noVBand="1"/>
          </w:tblPr>
          <w:tblGrid>
            <w:gridCol w:w="8643"/>
          </w:tblGrid>
          <w:tr w:rsidR="00EB5588" w:rsidRPr="00261378" w14:paraId="79DDEEBE" w14:textId="77777777" w:rsidTr="006439A8">
            <w:trPr>
              <w:trHeight w:val="2904"/>
              <w:jc w:val="center"/>
            </w:trPr>
            <w:tc>
              <w:tcPr>
                <w:tcW w:w="5000" w:type="pct"/>
              </w:tcPr>
              <w:p w14:paraId="4C8DE02D" w14:textId="46E856CD" w:rsidR="00EB5588" w:rsidRPr="00261378" w:rsidRDefault="00221548" w:rsidP="006439A8">
                <w:pPr>
                  <w:pStyle w:val="NoSpacing"/>
                  <w:jc w:val="center"/>
                  <w:rPr>
                    <w:rFonts w:ascii="Alef" w:eastAsiaTheme="majorEastAsia" w:hAnsi="Alef" w:cs="Alef"/>
                    <w:caps/>
                    <w:sz w:val="24"/>
                    <w:szCs w:val="24"/>
                    <w:rtl/>
                    <w:cs/>
                  </w:rPr>
                </w:pPr>
                <w:r w:rsidRPr="00261378">
                  <w:rPr>
                    <w:rFonts w:ascii="Alef" w:hAnsi="Alef" w:cs="Alef"/>
                    <w:b/>
                    <w:bCs/>
                    <w:noProof/>
                    <w:sz w:val="24"/>
                    <w:szCs w:val="24"/>
                  </w:rPr>
                  <w:drawing>
                    <wp:inline distT="0" distB="0" distL="0" distR="0" wp14:anchorId="5A56D1CF" wp14:editId="4FBBDC26">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9">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a:extLst/>
                            </pic:spPr>
                          </pic:pic>
                        </a:graphicData>
                      </a:graphic>
                    </wp:inline>
                  </w:drawing>
                </w:r>
              </w:p>
            </w:tc>
          </w:tr>
          <w:tr w:rsidR="00EB5588" w:rsidRPr="00261378" w14:paraId="3A7FBC57" w14:textId="77777777" w:rsidTr="00221548">
            <w:trPr>
              <w:trHeight w:val="3998"/>
              <w:jc w:val="center"/>
            </w:trPr>
            <w:sdt>
              <w:sdtPr>
                <w:rPr>
                  <w:rFonts w:ascii="Alef" w:eastAsiaTheme="majorEastAsia" w:hAnsi="Alef" w:cs="Alef"/>
                  <w:sz w:val="24"/>
                  <w:szCs w:val="24"/>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521CEB67" w14:textId="1C69688F" w:rsidR="00EB5588" w:rsidRPr="00261378" w:rsidRDefault="00402C21" w:rsidP="006439A8">
                    <w:pPr>
                      <w:pStyle w:val="NoSpacing"/>
                      <w:jc w:val="center"/>
                      <w:rPr>
                        <w:rFonts w:ascii="Alef" w:eastAsiaTheme="majorEastAsia" w:hAnsi="Alef" w:cs="Alef"/>
                        <w:sz w:val="24"/>
                        <w:szCs w:val="24"/>
                        <w:rtl/>
                        <w:cs/>
                      </w:rPr>
                    </w:pPr>
                    <w:r w:rsidRPr="00261378">
                      <w:rPr>
                        <w:rFonts w:ascii="Alef" w:eastAsiaTheme="majorEastAsia" w:hAnsi="Alef" w:cs="Alef"/>
                        <w:sz w:val="24"/>
                        <w:szCs w:val="24"/>
                        <w:rtl/>
                      </w:rPr>
                      <w:t>דוח הערכת השפעת רגולציה</w:t>
                    </w:r>
                  </w:p>
                </w:tc>
              </w:sdtContent>
            </w:sdt>
          </w:tr>
          <w:tr w:rsidR="00EB5588" w:rsidRPr="00261378" w14:paraId="483D3D64" w14:textId="77777777" w:rsidTr="006439A8">
            <w:trPr>
              <w:trHeight w:val="726"/>
              <w:jc w:val="center"/>
            </w:trPr>
            <w:sdt>
              <w:sdtPr>
                <w:rPr>
                  <w:rFonts w:ascii="Alef" w:hAnsi="Alef" w:cs="Alef"/>
                  <w:sz w:val="24"/>
                  <w:szCs w:val="24"/>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1691AFD" w14:textId="5F75B34E" w:rsidR="00EB5588" w:rsidRPr="00261378" w:rsidRDefault="00E01C60" w:rsidP="0029083E">
                    <w:pPr>
                      <w:pStyle w:val="NoSpacing"/>
                      <w:jc w:val="center"/>
                      <w:rPr>
                        <w:rFonts w:ascii="Alef" w:eastAsiaTheme="majorEastAsia" w:hAnsi="Alef" w:cs="Alef"/>
                        <w:sz w:val="24"/>
                        <w:szCs w:val="24"/>
                      </w:rPr>
                    </w:pPr>
                    <w:r w:rsidRPr="00261378">
                      <w:rPr>
                        <w:rFonts w:ascii="Alef" w:hAnsi="Alef" w:cs="Alef"/>
                        <w:sz w:val="24"/>
                        <w:szCs w:val="24"/>
                        <w:rtl/>
                      </w:rPr>
                      <w:t>כללי קידום התחרות בענף המזון (פטור לפעולות ולהסדרים שעניינם סידור מצרכים בחנות של קמעונאי גדול בעת מצב מיוחד בעורף) (הוראת שעה – חרבות ברזל), תשפ"ד-2023</w:t>
                    </w:r>
                  </w:p>
                </w:tc>
              </w:sdtContent>
            </w:sdt>
          </w:tr>
          <w:tr w:rsidR="00EB5588" w:rsidRPr="00261378" w14:paraId="08E0B17A" w14:textId="77777777" w:rsidTr="006439A8">
            <w:trPr>
              <w:trHeight w:val="363"/>
              <w:jc w:val="center"/>
            </w:trPr>
            <w:tc>
              <w:tcPr>
                <w:tcW w:w="5000" w:type="pct"/>
                <w:vAlign w:val="center"/>
              </w:tcPr>
              <w:p w14:paraId="70690B3A" w14:textId="6C8E22E2" w:rsidR="00EB5588" w:rsidRPr="00261378" w:rsidRDefault="00571DBB" w:rsidP="00F26CA2">
                <w:pPr>
                  <w:pStyle w:val="NoSpacing"/>
                  <w:jc w:val="center"/>
                  <w:rPr>
                    <w:rFonts w:ascii="Alef" w:hAnsi="Alef" w:cs="Alef"/>
                    <w:b/>
                    <w:bCs/>
                    <w:sz w:val="24"/>
                    <w:szCs w:val="24"/>
                    <w:rtl/>
                    <w:cs/>
                  </w:rPr>
                </w:pPr>
                <w:r w:rsidRPr="00261378">
                  <w:rPr>
                    <w:rFonts w:ascii="Alef" w:hAnsi="Alef" w:cs="Alef"/>
                    <w:b/>
                    <w:bCs/>
                    <w:sz w:val="24"/>
                    <w:szCs w:val="24"/>
                    <w:rtl/>
                  </w:rPr>
                  <w:t>21</w:t>
                </w:r>
                <w:r w:rsidR="004C6EAA" w:rsidRPr="00261378">
                  <w:rPr>
                    <w:rFonts w:ascii="Alef" w:hAnsi="Alef" w:cs="Alef"/>
                    <w:b/>
                    <w:bCs/>
                    <w:sz w:val="24"/>
                    <w:szCs w:val="24"/>
                    <w:rtl/>
                  </w:rPr>
                  <w:t>/11/202</w:t>
                </w:r>
                <w:r w:rsidRPr="00261378">
                  <w:rPr>
                    <w:rFonts w:ascii="Alef" w:hAnsi="Alef" w:cs="Alef"/>
                    <w:b/>
                    <w:bCs/>
                    <w:sz w:val="24"/>
                    <w:szCs w:val="24"/>
                    <w:rtl/>
                  </w:rPr>
                  <w:t>4</w:t>
                </w:r>
              </w:p>
            </w:tc>
          </w:tr>
        </w:tbl>
        <w:p w14:paraId="2F053D1C" w14:textId="77777777" w:rsidR="00EB5588" w:rsidRPr="00261378" w:rsidRDefault="00EB5588" w:rsidP="00EB5588">
          <w:pPr>
            <w:rPr>
              <w:rFonts w:ascii="Alef" w:hAnsi="Alef" w:cs="Alef"/>
              <w:b/>
              <w:bCs/>
              <w:sz w:val="24"/>
              <w:szCs w:val="24"/>
              <w:rtl/>
            </w:rPr>
          </w:pPr>
        </w:p>
        <w:p w14:paraId="77061FF4" w14:textId="77777777" w:rsidR="00EB5588" w:rsidRPr="00261378" w:rsidRDefault="00EB5588" w:rsidP="00EB5588">
          <w:pPr>
            <w:ind w:left="1440"/>
            <w:rPr>
              <w:rFonts w:ascii="Alef" w:hAnsi="Alef" w:cs="Alef"/>
              <w:b/>
              <w:bCs/>
              <w:sz w:val="24"/>
              <w:szCs w:val="24"/>
              <w:rtl/>
            </w:rPr>
          </w:pPr>
        </w:p>
        <w:p w14:paraId="4104CA1A" w14:textId="71D7A923" w:rsidR="00EB5588" w:rsidRPr="00261378" w:rsidRDefault="00EB5588" w:rsidP="003F3817">
          <w:pPr>
            <w:rPr>
              <w:rFonts w:ascii="Alef" w:hAnsi="Alef" w:cs="Alef"/>
              <w:b/>
              <w:bCs/>
              <w:sz w:val="24"/>
              <w:szCs w:val="24"/>
              <w:rtl/>
              <w:cs/>
            </w:rPr>
          </w:pPr>
          <w:r w:rsidRPr="00261378">
            <w:rPr>
              <w:rFonts w:ascii="Alef" w:hAnsi="Alef" w:cs="Alef"/>
              <w:b/>
              <w:bCs/>
              <w:sz w:val="24"/>
              <w:szCs w:val="24"/>
              <w:u w:val="single"/>
              <w:rtl/>
            </w:rPr>
            <w:t>עור</w:t>
          </w:r>
          <w:r w:rsidR="00AA4AA7" w:rsidRPr="00261378">
            <w:rPr>
              <w:rFonts w:ascii="Alef" w:hAnsi="Alef" w:cs="Alef"/>
              <w:b/>
              <w:bCs/>
              <w:sz w:val="24"/>
              <w:szCs w:val="24"/>
              <w:u w:val="single"/>
              <w:rtl/>
            </w:rPr>
            <w:t>ך הדו"ח</w:t>
          </w:r>
          <w:r w:rsidRPr="00261378">
            <w:rPr>
              <w:rFonts w:ascii="Alef" w:hAnsi="Alef" w:cs="Alef"/>
              <w:b/>
              <w:bCs/>
              <w:sz w:val="24"/>
              <w:szCs w:val="24"/>
              <w:rtl/>
            </w:rPr>
            <w:t xml:space="preserve">: </w:t>
          </w:r>
          <w:r w:rsidR="00AA4AA7" w:rsidRPr="00261378">
            <w:rPr>
              <w:rFonts w:ascii="Alef" w:hAnsi="Alef" w:cs="Alef"/>
              <w:b/>
              <w:bCs/>
              <w:sz w:val="24"/>
              <w:szCs w:val="24"/>
              <w:rtl/>
            </w:rPr>
            <w:t>עו"ד איל שפירא</w:t>
          </w:r>
        </w:p>
        <w:p w14:paraId="6FCA2806" w14:textId="77777777" w:rsidR="00EB5588" w:rsidRPr="00261378" w:rsidRDefault="00EB5588" w:rsidP="00EB5588">
          <w:pPr>
            <w:rPr>
              <w:rFonts w:ascii="Alef" w:hAnsi="Alef" w:cs="Alef"/>
              <w:sz w:val="24"/>
              <w:szCs w:val="24"/>
              <w:rtl/>
              <w:cs/>
            </w:rPr>
          </w:pPr>
        </w:p>
        <w:p w14:paraId="396E738E" w14:textId="77777777" w:rsidR="00EB5588" w:rsidRPr="00261378" w:rsidRDefault="00EB5588" w:rsidP="00EB5588">
          <w:pPr>
            <w:rPr>
              <w:rFonts w:ascii="Alef" w:hAnsi="Alef" w:cs="Alef"/>
              <w:sz w:val="24"/>
              <w:szCs w:val="24"/>
              <w:rtl/>
              <w:cs/>
            </w:rPr>
          </w:pPr>
        </w:p>
        <w:p w14:paraId="5D53CE59" w14:textId="77777777" w:rsidR="00EB5588" w:rsidRPr="00261378" w:rsidRDefault="00EB5588" w:rsidP="00EB5588">
          <w:pPr>
            <w:bidi w:val="0"/>
            <w:rPr>
              <w:rFonts w:ascii="Alef" w:eastAsiaTheme="majorEastAsia" w:hAnsi="Alef" w:cs="Alef"/>
              <w:sz w:val="24"/>
              <w:szCs w:val="24"/>
            </w:rPr>
          </w:pPr>
          <w:r w:rsidRPr="00261378">
            <w:rPr>
              <w:rFonts w:ascii="Alef" w:eastAsiaTheme="majorEastAsia" w:hAnsi="Alef" w:cs="Alef"/>
              <w:sz w:val="24"/>
              <w:szCs w:val="24"/>
              <w:rtl/>
            </w:rPr>
            <w:br w:type="page"/>
          </w:r>
        </w:p>
      </w:sdtContent>
    </w:sdt>
    <w:p w14:paraId="73201C46" w14:textId="12C8AE4D" w:rsidR="00EB5588" w:rsidRPr="00261378" w:rsidRDefault="00EB5588" w:rsidP="00F301EF">
      <w:pPr>
        <w:pStyle w:val="Heading1"/>
        <w:rPr>
          <w:rFonts w:ascii="Alef" w:hAnsi="Alef" w:cs="Alef"/>
          <w:b/>
          <w:bCs/>
          <w:color w:val="auto"/>
          <w:sz w:val="24"/>
          <w:szCs w:val="24"/>
          <w:rtl/>
        </w:rPr>
      </w:pPr>
      <w:r w:rsidRPr="00261378">
        <w:rPr>
          <w:rFonts w:ascii="Alef" w:hAnsi="Alef" w:cs="Alef"/>
          <w:b/>
          <w:bCs/>
          <w:color w:val="auto"/>
          <w:sz w:val="24"/>
          <w:szCs w:val="24"/>
          <w:rtl/>
        </w:rPr>
        <w:lastRenderedPageBreak/>
        <w:t xml:space="preserve">רקע – </w:t>
      </w:r>
    </w:p>
    <w:p w14:paraId="65B677C7" w14:textId="77777777" w:rsidR="00571DBB" w:rsidRPr="00261378" w:rsidRDefault="00571DBB" w:rsidP="00571DBB">
      <w:pPr>
        <w:pStyle w:val="ListParagraph"/>
        <w:numPr>
          <w:ilvl w:val="0"/>
          <w:numId w:val="32"/>
        </w:numPr>
        <w:spacing w:after="160" w:line="360" w:lineRule="auto"/>
        <w:contextualSpacing w:val="0"/>
        <w:jc w:val="both"/>
        <w:rPr>
          <w:rFonts w:ascii="Alef" w:hAnsi="Alef" w:cs="Alef"/>
          <w:color w:val="272727"/>
          <w:sz w:val="24"/>
          <w:szCs w:val="24"/>
          <w:rtl/>
        </w:rPr>
      </w:pPr>
      <w:r w:rsidRPr="00261378">
        <w:rPr>
          <w:rFonts w:ascii="Alef" w:hAnsi="Alef" w:cs="Alef"/>
          <w:color w:val="272727"/>
          <w:sz w:val="24"/>
          <w:szCs w:val="24"/>
          <w:rtl/>
        </w:rPr>
        <w:t>סעיפים 7(א)(1) ו – 7(א)(2) לחוק קידום התחרות בענף המזון, תשע"ד- 2014 ("</w:t>
      </w:r>
      <w:r w:rsidRPr="00261378">
        <w:rPr>
          <w:rFonts w:ascii="Alef" w:hAnsi="Alef" w:cs="Alef"/>
          <w:b/>
          <w:bCs/>
          <w:color w:val="272727"/>
          <w:sz w:val="24"/>
          <w:szCs w:val="24"/>
          <w:rtl/>
        </w:rPr>
        <w:t>חוק המזון</w:t>
      </w:r>
      <w:r w:rsidRPr="00261378">
        <w:rPr>
          <w:rFonts w:ascii="Alef" w:hAnsi="Alef" w:cs="Alef"/>
          <w:color w:val="272727"/>
          <w:sz w:val="24"/>
          <w:szCs w:val="24"/>
          <w:rtl/>
        </w:rPr>
        <w:t xml:space="preserve">"), אוסרים על ספק גדול לעסוק או להתערב בסידור מצרכים אצל קמעונאי גדול הנכלל ברשימה, </w:t>
      </w:r>
      <w:r w:rsidRPr="00261378">
        <w:rPr>
          <w:rFonts w:ascii="Alef" w:eastAsia="Times New Roman" w:hAnsi="Alef" w:cs="Alef"/>
          <w:sz w:val="24"/>
          <w:szCs w:val="24"/>
          <w:rtl/>
        </w:rPr>
        <w:t>להמליץ או להתערב בכל דרך אחרת בעניין סידור המצרכים</w:t>
      </w:r>
      <w:r w:rsidRPr="00261378">
        <w:rPr>
          <w:rFonts w:ascii="Alef" w:hAnsi="Alef" w:cs="Alef"/>
          <w:color w:val="272727"/>
          <w:sz w:val="24"/>
          <w:szCs w:val="24"/>
          <w:rtl/>
        </w:rPr>
        <w:t xml:space="preserve"> וכן אוסרים על קמעונאי גדול להיות צד להסדר עם ספק גדול הנכלל ברשימה הנוגע לסידור מצרכים בחנותו ("</w:t>
      </w:r>
      <w:r w:rsidRPr="00261378">
        <w:rPr>
          <w:rFonts w:ascii="Alef" w:hAnsi="Alef" w:cs="Alef"/>
          <w:b/>
          <w:bCs/>
          <w:color w:val="272727"/>
          <w:sz w:val="24"/>
          <w:szCs w:val="24"/>
          <w:rtl/>
        </w:rPr>
        <w:t>איסור הסדרנות</w:t>
      </w:r>
      <w:r w:rsidRPr="00261378">
        <w:rPr>
          <w:rFonts w:ascii="Alef" w:hAnsi="Alef" w:cs="Alef"/>
          <w:color w:val="272727"/>
          <w:sz w:val="24"/>
          <w:szCs w:val="24"/>
          <w:rtl/>
        </w:rPr>
        <w:t xml:space="preserve">"). </w:t>
      </w:r>
    </w:p>
    <w:p w14:paraId="241DF5F8" w14:textId="77777777" w:rsidR="00571DBB" w:rsidRPr="00261378" w:rsidRDefault="00571DBB" w:rsidP="00571DBB">
      <w:pPr>
        <w:pStyle w:val="ListParagraph"/>
        <w:numPr>
          <w:ilvl w:val="0"/>
          <w:numId w:val="32"/>
        </w:numPr>
        <w:spacing w:after="160" w:line="360" w:lineRule="auto"/>
        <w:contextualSpacing w:val="0"/>
        <w:jc w:val="both"/>
        <w:rPr>
          <w:rFonts w:ascii="Alef" w:hAnsi="Alef" w:cs="Alef"/>
          <w:color w:val="272727"/>
          <w:sz w:val="24"/>
          <w:szCs w:val="24"/>
        </w:rPr>
      </w:pPr>
      <w:r w:rsidRPr="00261378">
        <w:rPr>
          <w:rFonts w:ascii="Alef" w:hAnsi="Alef" w:cs="Alef"/>
          <w:color w:val="272727"/>
          <w:sz w:val="24"/>
          <w:szCs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מהותיות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2C71FB6B" w14:textId="7C4BB0EB" w:rsidR="00571DBB" w:rsidRPr="00261378" w:rsidRDefault="00571DBB" w:rsidP="00571DBB">
      <w:pPr>
        <w:pStyle w:val="ListParagraph"/>
        <w:numPr>
          <w:ilvl w:val="0"/>
          <w:numId w:val="32"/>
        </w:numPr>
        <w:spacing w:after="160" w:line="360" w:lineRule="auto"/>
        <w:contextualSpacing w:val="0"/>
        <w:jc w:val="both"/>
        <w:rPr>
          <w:rFonts w:ascii="Alef" w:hAnsi="Alef" w:cs="Alef"/>
          <w:color w:val="272727"/>
          <w:sz w:val="24"/>
          <w:szCs w:val="24"/>
          <w:shd w:val="clear" w:color="auto" w:fill="FFFFFF"/>
        </w:rPr>
      </w:pPr>
      <w:r w:rsidRPr="00261378">
        <w:rPr>
          <w:rFonts w:ascii="Alef" w:hAnsi="Alef" w:cs="Alef"/>
          <w:color w:val="272727"/>
          <w:sz w:val="24"/>
          <w:szCs w:val="24"/>
          <w:shd w:val="clear" w:color="auto" w:fill="FFFFFF"/>
          <w:rtl/>
        </w:rPr>
        <w:t>בקטגוריות רבות בענף המזון מספר הספקים הוא מצומצם יחסית ומידת הריכוזיות בהן היא רבה.</w:t>
      </w:r>
    </w:p>
    <w:p w14:paraId="3C62063D" w14:textId="483B0276" w:rsidR="006871BE" w:rsidRPr="00261378" w:rsidRDefault="006871BE" w:rsidP="006871BE">
      <w:pPr>
        <w:pStyle w:val="PlainText"/>
        <w:keepNext/>
        <w:keepLines/>
        <w:numPr>
          <w:ilvl w:val="0"/>
          <w:numId w:val="32"/>
        </w:numPr>
        <w:autoSpaceDE/>
        <w:autoSpaceDN/>
        <w:adjustRightInd/>
        <w:spacing w:line="360" w:lineRule="auto"/>
        <w:jc w:val="both"/>
        <w:rPr>
          <w:rFonts w:ascii="Alef" w:hAnsi="Alef" w:cs="Alef"/>
          <w:b/>
          <w:bCs/>
          <w:sz w:val="24"/>
        </w:rPr>
      </w:pPr>
      <w:r w:rsidRPr="00261378">
        <w:rPr>
          <w:rFonts w:ascii="Alef" w:hAnsi="Alef" w:cs="Alef"/>
          <w:sz w:val="24"/>
          <w:rtl/>
        </w:rPr>
        <w:t>כפי שמפרט דו"ח של מרכז המחקר והמידע של הכנסת,</w:t>
      </w:r>
      <w:r w:rsidRPr="00261378">
        <w:rPr>
          <w:rStyle w:val="FootnoteReference"/>
          <w:rFonts w:ascii="Alef" w:hAnsi="Alef" w:cs="Alef"/>
          <w:sz w:val="24"/>
          <w:rtl/>
        </w:rPr>
        <w:footnoteReference w:id="1"/>
      </w:r>
      <w:r w:rsidRPr="00261378">
        <w:rPr>
          <w:rFonts w:ascii="Alef" w:hAnsi="Alef" w:cs="Alef"/>
          <w:sz w:val="24"/>
          <w:rtl/>
        </w:rPr>
        <w:t xml:space="preserve"> </w:t>
      </w:r>
      <w:r w:rsidRPr="00261378">
        <w:rPr>
          <w:rFonts w:ascii="Alef" w:hAnsi="Alef" w:cs="Alef"/>
          <w:color w:val="272727"/>
          <w:sz w:val="24"/>
          <w:shd w:val="clear" w:color="auto" w:fill="FFFFFF"/>
          <w:rtl/>
        </w:rPr>
        <w:t>בין השנים 2018 ל-2022, עשרת הספקים הגדולים בישראל החזיקו יחדיו ב51-53% מסך המכירות בשוק המזון בישראל.</w:t>
      </w:r>
      <w:r w:rsidRPr="00261378">
        <w:rPr>
          <w:rStyle w:val="FootnoteReference"/>
          <w:rFonts w:ascii="Alef" w:hAnsi="Alef" w:cs="Alef"/>
          <w:color w:val="272727"/>
          <w:sz w:val="24"/>
          <w:shd w:val="clear" w:color="auto" w:fill="FFFFFF"/>
          <w:rtl/>
        </w:rPr>
        <w:footnoteReference w:id="2"/>
      </w:r>
    </w:p>
    <w:p w14:paraId="1796234F" w14:textId="77777777" w:rsidR="006871BE" w:rsidRPr="00261378" w:rsidRDefault="006871BE" w:rsidP="006871BE">
      <w:pPr>
        <w:spacing w:before="240" w:after="0" w:line="360" w:lineRule="auto"/>
        <w:jc w:val="both"/>
        <w:rPr>
          <w:rFonts w:ascii="Alef" w:hAnsi="Alef" w:cs="Alef"/>
          <w:sz w:val="24"/>
          <w:szCs w:val="24"/>
          <w:rtl/>
        </w:rPr>
      </w:pPr>
      <w:r w:rsidRPr="00261378">
        <w:rPr>
          <w:rFonts w:ascii="Alef" w:hAnsi="Alef" w:cs="Alef"/>
          <w:sz w:val="24"/>
          <w:szCs w:val="24"/>
          <w:u w:val="single"/>
          <w:rtl/>
        </w:rPr>
        <w:t>גרף 1</w:t>
      </w:r>
      <w:r w:rsidRPr="00261378">
        <w:rPr>
          <w:rFonts w:ascii="Alef" w:hAnsi="Alef" w:cs="Alef"/>
          <w:sz w:val="24"/>
          <w:szCs w:val="24"/>
          <w:rtl/>
        </w:rPr>
        <w:t>:</w:t>
      </w:r>
    </w:p>
    <w:p w14:paraId="75D55CAC" w14:textId="77777777" w:rsidR="006871BE" w:rsidRPr="00261378" w:rsidRDefault="006871BE" w:rsidP="006871BE">
      <w:pPr>
        <w:spacing w:line="360" w:lineRule="auto"/>
        <w:jc w:val="center"/>
        <w:rPr>
          <w:rFonts w:ascii="Alef" w:hAnsi="Alef" w:cs="Alef"/>
          <w:color w:val="272727"/>
          <w:sz w:val="24"/>
          <w:szCs w:val="24"/>
          <w:shd w:val="clear" w:color="auto" w:fill="FFFFFF"/>
        </w:rPr>
      </w:pPr>
      <w:r w:rsidRPr="00261378">
        <w:rPr>
          <w:rFonts w:ascii="Alef" w:hAnsi="Alef" w:cs="Alef"/>
          <w:noProof/>
          <w:sz w:val="24"/>
          <w:szCs w:val="24"/>
        </w:rPr>
        <w:drawing>
          <wp:inline distT="0" distB="0" distL="0" distR="0" wp14:anchorId="63E7C027" wp14:editId="4CC383C4">
            <wp:extent cx="5274310" cy="12642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264285"/>
                    </a:xfrm>
                    <a:prstGeom prst="rect">
                      <a:avLst/>
                    </a:prstGeom>
                  </pic:spPr>
                </pic:pic>
              </a:graphicData>
            </a:graphic>
          </wp:inline>
        </w:drawing>
      </w:r>
    </w:p>
    <w:p w14:paraId="15511D8F" w14:textId="0E05F511" w:rsidR="006871BE" w:rsidRPr="00261378" w:rsidRDefault="006871BE" w:rsidP="006871BE">
      <w:pPr>
        <w:pStyle w:val="ListParagraph"/>
        <w:numPr>
          <w:ilvl w:val="0"/>
          <w:numId w:val="32"/>
        </w:numPr>
        <w:spacing w:before="240" w:after="0" w:line="360" w:lineRule="auto"/>
        <w:jc w:val="both"/>
        <w:rPr>
          <w:rFonts w:ascii="Alef" w:eastAsia="Times New Roman" w:hAnsi="Alef" w:cs="Alef"/>
          <w:color w:val="272727"/>
          <w:sz w:val="24"/>
          <w:szCs w:val="24"/>
          <w:shd w:val="clear" w:color="auto" w:fill="FFFFFF"/>
          <w:lang w:eastAsia="he-IL"/>
        </w:rPr>
      </w:pPr>
      <w:r w:rsidRPr="00261378">
        <w:rPr>
          <w:rFonts w:ascii="Alef" w:eastAsia="Times New Roman" w:hAnsi="Alef" w:cs="Alef"/>
          <w:color w:val="272727"/>
          <w:sz w:val="24"/>
          <w:szCs w:val="24"/>
          <w:shd w:val="clear" w:color="auto" w:fill="FFFFFF"/>
          <w:rtl/>
          <w:lang w:eastAsia="he-IL"/>
        </w:rPr>
        <w:lastRenderedPageBreak/>
        <w:t>כפי שניתן לראות</w:t>
      </w:r>
      <w:r w:rsidR="006143F2" w:rsidRPr="00261378">
        <w:rPr>
          <w:rFonts w:ascii="Alef" w:eastAsia="Times New Roman" w:hAnsi="Alef" w:cs="Alef"/>
          <w:color w:val="272727"/>
          <w:sz w:val="24"/>
          <w:szCs w:val="24"/>
          <w:shd w:val="clear" w:color="auto" w:fill="FFFFFF"/>
          <w:rtl/>
          <w:lang w:eastAsia="he-IL"/>
        </w:rPr>
        <w:t>,</w:t>
      </w:r>
      <w:r w:rsidRPr="00261378">
        <w:rPr>
          <w:rFonts w:ascii="Alef" w:eastAsia="Times New Roman" w:hAnsi="Alef" w:cs="Alef"/>
          <w:color w:val="272727"/>
          <w:sz w:val="24"/>
          <w:szCs w:val="24"/>
          <w:shd w:val="clear" w:color="auto" w:fill="FFFFFF"/>
          <w:rtl/>
          <w:lang w:eastAsia="he-IL"/>
        </w:rPr>
        <w:t xml:space="preserve"> נתח השוק של 10 הספקים הגדולים (תנובה, שטראוס, אסם, החברה המרכזית למשקאות קלים, דיפלומט, </w:t>
      </w:r>
      <w:proofErr w:type="spellStart"/>
      <w:r w:rsidRPr="00261378">
        <w:rPr>
          <w:rFonts w:ascii="Alef" w:eastAsia="Times New Roman" w:hAnsi="Alef" w:cs="Alef"/>
          <w:color w:val="272727"/>
          <w:sz w:val="24"/>
          <w:szCs w:val="24"/>
          <w:shd w:val="clear" w:color="auto" w:fill="FFFFFF"/>
          <w:rtl/>
          <w:lang w:eastAsia="he-IL"/>
        </w:rPr>
        <w:t>יוניליוור</w:t>
      </w:r>
      <w:proofErr w:type="spellEnd"/>
      <w:r w:rsidRPr="00261378">
        <w:rPr>
          <w:rFonts w:ascii="Alef" w:eastAsia="Times New Roman" w:hAnsi="Alef" w:cs="Alef"/>
          <w:color w:val="272727"/>
          <w:sz w:val="24"/>
          <w:szCs w:val="24"/>
          <w:shd w:val="clear" w:color="auto" w:fill="FFFFFF"/>
          <w:rtl/>
          <w:lang w:eastAsia="he-IL"/>
        </w:rPr>
        <w:t xml:space="preserve">, סנו, חוגלה קימברלי, נטו </w:t>
      </w:r>
      <w:proofErr w:type="spellStart"/>
      <w:r w:rsidRPr="00261378">
        <w:rPr>
          <w:rFonts w:ascii="Alef" w:eastAsia="Times New Roman" w:hAnsi="Alef" w:cs="Alef"/>
          <w:color w:val="272727"/>
          <w:sz w:val="24"/>
          <w:szCs w:val="24"/>
          <w:shd w:val="clear" w:color="auto" w:fill="FFFFFF"/>
          <w:rtl/>
          <w:lang w:eastAsia="he-IL"/>
        </w:rPr>
        <w:t>ושסטוביץ</w:t>
      </w:r>
      <w:proofErr w:type="spellEnd"/>
      <w:r w:rsidRPr="00261378">
        <w:rPr>
          <w:rFonts w:ascii="Alef" w:eastAsia="Times New Roman" w:hAnsi="Alef" w:cs="Alef"/>
          <w:color w:val="272727"/>
          <w:sz w:val="24"/>
          <w:szCs w:val="24"/>
          <w:shd w:val="clear" w:color="auto" w:fill="FFFFFF"/>
          <w:rtl/>
          <w:lang w:eastAsia="he-IL"/>
        </w:rPr>
        <w:t xml:space="preserve">) ירד מ-53.6% בשנת ל-51% בשנת 2022. </w:t>
      </w:r>
    </w:p>
    <w:p w14:paraId="259A2995" w14:textId="77777777" w:rsidR="006143F2" w:rsidRPr="00261378" w:rsidRDefault="006143F2" w:rsidP="006143F2">
      <w:pPr>
        <w:numPr>
          <w:ilvl w:val="0"/>
          <w:numId w:val="32"/>
        </w:numPr>
        <w:spacing w:before="240" w:after="0" w:line="360" w:lineRule="auto"/>
        <w:jc w:val="both"/>
        <w:rPr>
          <w:rFonts w:ascii="Alef" w:hAnsi="Alef" w:cs="Alef"/>
          <w:sz w:val="24"/>
          <w:szCs w:val="24"/>
        </w:rPr>
      </w:pPr>
      <w:r w:rsidRPr="00261378">
        <w:rPr>
          <w:rFonts w:ascii="Alef" w:hAnsi="Alef" w:cs="Alef"/>
          <w:sz w:val="24"/>
          <w:szCs w:val="24"/>
          <w:rtl/>
        </w:rPr>
        <w:t xml:space="preserve">מדד נוסף המקובל לבחינת </w:t>
      </w:r>
      <w:proofErr w:type="spellStart"/>
      <w:r w:rsidRPr="00261378">
        <w:rPr>
          <w:rFonts w:ascii="Alef" w:hAnsi="Alef" w:cs="Alef"/>
          <w:sz w:val="24"/>
          <w:szCs w:val="24"/>
          <w:rtl/>
        </w:rPr>
        <w:t>ריכוזיותו</w:t>
      </w:r>
      <w:proofErr w:type="spellEnd"/>
      <w:r w:rsidRPr="00261378">
        <w:rPr>
          <w:rFonts w:ascii="Alef" w:hAnsi="Alef" w:cs="Alef"/>
          <w:sz w:val="24"/>
          <w:szCs w:val="24"/>
          <w:rtl/>
        </w:rPr>
        <w:t xml:space="preserve"> של שוק מסוים הוא מדד </w:t>
      </w:r>
      <w:r w:rsidRPr="00261378">
        <w:rPr>
          <w:rFonts w:ascii="Alef" w:hAnsi="Alef" w:cs="Alef"/>
          <w:sz w:val="24"/>
          <w:szCs w:val="24"/>
        </w:rPr>
        <w:t>HHI</w:t>
      </w:r>
      <w:r w:rsidRPr="00261378">
        <w:rPr>
          <w:rStyle w:val="FootnoteReference"/>
          <w:rFonts w:ascii="Alef" w:hAnsi="Alef" w:cs="Alef"/>
          <w:sz w:val="24"/>
          <w:szCs w:val="24"/>
        </w:rPr>
        <w:footnoteReference w:id="3"/>
      </w:r>
      <w:r w:rsidRPr="00261378">
        <w:rPr>
          <w:rFonts w:ascii="Alef" w:hAnsi="Alef" w:cs="Alef"/>
          <w:sz w:val="24"/>
          <w:szCs w:val="24"/>
          <w:rtl/>
        </w:rPr>
        <w:t>.  ככלל נהוג לראות תוצאה במדד ה-</w:t>
      </w:r>
      <w:r w:rsidRPr="00261378">
        <w:rPr>
          <w:rFonts w:ascii="Alef" w:hAnsi="Alef" w:cs="Alef"/>
          <w:sz w:val="24"/>
          <w:szCs w:val="24"/>
        </w:rPr>
        <w:t>HHI</w:t>
      </w:r>
      <w:r w:rsidRPr="00261378">
        <w:rPr>
          <w:rFonts w:ascii="Alef" w:hAnsi="Alef" w:cs="Alef"/>
          <w:sz w:val="24"/>
          <w:szCs w:val="24"/>
          <w:rtl/>
        </w:rPr>
        <w:t xml:space="preserve"> הגבוהה מ-2500 כאינדיקציה לרמת ריכוזיות גבוהה; תוצאה גבוהה מ-1500 אך נמוכה מ-2500 כאינדיקציה לריכוזיות בינונית; ותוצאה הנמוכה מ-1500 כאינדיקציה לרמת ריכוזיות נמוכה. בחינה של מדד ה-</w:t>
      </w:r>
      <w:r w:rsidRPr="00261378">
        <w:rPr>
          <w:rFonts w:ascii="Alef" w:hAnsi="Alef" w:cs="Alef"/>
          <w:sz w:val="24"/>
          <w:szCs w:val="24"/>
        </w:rPr>
        <w:t>HHI</w:t>
      </w:r>
      <w:r w:rsidRPr="00261378">
        <w:rPr>
          <w:rFonts w:ascii="Alef" w:hAnsi="Alef" w:cs="Alef"/>
          <w:sz w:val="24"/>
          <w:szCs w:val="24"/>
          <w:rtl/>
        </w:rPr>
        <w:t xml:space="preserve"> נעשתה בקרב הספקים של 30 הקטגוריות הגדולות בתחום המזון והקמעונאות בהתבסס על נתוני מכירות לצרכנים ביחס לשנת 2023. </w:t>
      </w:r>
    </w:p>
    <w:p w14:paraId="1F6A9BE5" w14:textId="77777777" w:rsidR="006143F2" w:rsidRPr="00261378" w:rsidRDefault="006143F2" w:rsidP="006143F2">
      <w:pPr>
        <w:numPr>
          <w:ilvl w:val="0"/>
          <w:numId w:val="32"/>
        </w:numPr>
        <w:spacing w:before="240" w:after="0" w:line="360" w:lineRule="auto"/>
        <w:jc w:val="both"/>
        <w:rPr>
          <w:rFonts w:ascii="Alef" w:hAnsi="Alef" w:cs="Alef"/>
          <w:sz w:val="24"/>
          <w:szCs w:val="24"/>
        </w:rPr>
      </w:pPr>
      <w:r w:rsidRPr="00261378">
        <w:rPr>
          <w:rFonts w:ascii="Alef" w:hAnsi="Alef" w:cs="Alef"/>
          <w:sz w:val="24"/>
          <w:szCs w:val="24"/>
          <w:rtl/>
        </w:rPr>
        <w:t xml:space="preserve">בגרף 4 להלן חלוקת ענף המזון לקטגוריות מבוססת על חלוקה שביצעה חברת </w:t>
      </w:r>
      <w:proofErr w:type="spellStart"/>
      <w:r w:rsidRPr="00261378">
        <w:rPr>
          <w:rFonts w:ascii="Alef" w:hAnsi="Alef" w:cs="Alef"/>
          <w:sz w:val="24"/>
          <w:szCs w:val="24"/>
        </w:rPr>
        <w:t>StoreNext</w:t>
      </w:r>
      <w:proofErr w:type="spellEnd"/>
      <w:r w:rsidRPr="00261378">
        <w:rPr>
          <w:rFonts w:ascii="Alef" w:hAnsi="Alef" w:cs="Alef"/>
          <w:sz w:val="24"/>
          <w:szCs w:val="24"/>
          <w:rtl/>
        </w:rPr>
        <w:t xml:space="preserve"> ואינה תואמת בהכרח להגדרות שוק בהקשר של דיני תחרות (הסדר הוא לפי רמת הריכוזיות ולא גודל הקטגוריה). כך למעשה, מדד ה-</w:t>
      </w:r>
      <w:r w:rsidRPr="00261378">
        <w:rPr>
          <w:rFonts w:ascii="Alef" w:hAnsi="Alef" w:cs="Alef"/>
          <w:sz w:val="24"/>
          <w:szCs w:val="24"/>
        </w:rPr>
        <w:t>HHI</w:t>
      </w:r>
      <w:r w:rsidRPr="00261378">
        <w:rPr>
          <w:rFonts w:ascii="Alef" w:hAnsi="Alef" w:cs="Alef"/>
          <w:sz w:val="24"/>
          <w:szCs w:val="24"/>
          <w:rtl/>
        </w:rPr>
        <w:t xml:space="preserve"> שיוצג להלן הוא "השאלה" מייעודו המקורי ונועד לשמש ככלי עזר להתרשמות מהריכוזיות הרבה בתחום המזון.</w:t>
      </w:r>
    </w:p>
    <w:p w14:paraId="3B9111AB" w14:textId="588C74D3" w:rsidR="006143F2" w:rsidRPr="00261378" w:rsidRDefault="006143F2" w:rsidP="006143F2">
      <w:pPr>
        <w:numPr>
          <w:ilvl w:val="0"/>
          <w:numId w:val="32"/>
        </w:numPr>
        <w:spacing w:before="240" w:after="0" w:line="360" w:lineRule="auto"/>
        <w:jc w:val="both"/>
        <w:rPr>
          <w:rFonts w:ascii="Alef" w:hAnsi="Alef" w:cs="Alef"/>
          <w:sz w:val="24"/>
          <w:szCs w:val="24"/>
          <w:rtl/>
        </w:rPr>
      </w:pPr>
      <w:r w:rsidRPr="00261378">
        <w:rPr>
          <w:rFonts w:ascii="Alef" w:hAnsi="Alef" w:cs="Alef"/>
          <w:sz w:val="24"/>
          <w:szCs w:val="24"/>
          <w:rtl/>
        </w:rPr>
        <w:t>הקטגוריות צבועות בשלושה צבעים: אדום, צהוב וירוק המסמלים את מידת הריכוזיות בקטגוריה.</w:t>
      </w:r>
      <w:r w:rsidRPr="00261378">
        <w:rPr>
          <w:rStyle w:val="FootnoteReference"/>
          <w:rFonts w:ascii="Alef" w:hAnsi="Alef" w:cs="Alef"/>
          <w:sz w:val="24"/>
          <w:szCs w:val="24"/>
          <w:rtl/>
        </w:rPr>
        <w:footnoteReference w:id="4"/>
      </w:r>
      <w:r w:rsidRPr="00261378">
        <w:rPr>
          <w:rStyle w:val="FootnoteReference"/>
          <w:rFonts w:ascii="Alef" w:hAnsi="Alef" w:cs="Alef"/>
          <w:sz w:val="24"/>
          <w:szCs w:val="24"/>
          <w:rtl/>
        </w:rPr>
        <w:t xml:space="preserve"> </w:t>
      </w:r>
    </w:p>
    <w:p w14:paraId="475FA8FC" w14:textId="77777777" w:rsidR="006143F2" w:rsidRPr="00261378" w:rsidRDefault="006143F2" w:rsidP="006143F2">
      <w:pPr>
        <w:pStyle w:val="ListParagraph"/>
        <w:spacing w:before="240" w:line="360" w:lineRule="auto"/>
        <w:ind w:left="357"/>
        <w:rPr>
          <w:rFonts w:ascii="Alef" w:hAnsi="Alef" w:cs="Alef"/>
          <w:sz w:val="24"/>
          <w:szCs w:val="24"/>
          <w:u w:val="single"/>
          <w:rtl/>
        </w:rPr>
      </w:pPr>
      <w:r w:rsidRPr="00261378">
        <w:rPr>
          <w:rFonts w:ascii="Alef" w:hAnsi="Alef" w:cs="Alef"/>
          <w:noProof/>
          <w:sz w:val="24"/>
          <w:szCs w:val="24"/>
          <w:u w:val="single"/>
        </w:rPr>
        <w:lastRenderedPageBreak/>
        <w:drawing>
          <wp:anchor distT="0" distB="0" distL="114300" distR="114300" simplePos="0" relativeHeight="251659264" behindDoc="0" locked="0" layoutInCell="1" allowOverlap="1" wp14:anchorId="7E4F4E91" wp14:editId="43861D2B">
            <wp:simplePos x="0" y="0"/>
            <wp:positionH relativeFrom="margin">
              <wp:posOffset>-992505</wp:posOffset>
            </wp:positionH>
            <wp:positionV relativeFrom="paragraph">
              <wp:posOffset>217170</wp:posOffset>
            </wp:positionV>
            <wp:extent cx="7171690" cy="3585845"/>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71690" cy="3585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1378">
        <w:rPr>
          <w:rFonts w:ascii="Alef" w:hAnsi="Alef" w:cs="Alef"/>
          <w:sz w:val="24"/>
          <w:szCs w:val="24"/>
          <w:u w:val="single"/>
          <w:rtl/>
        </w:rPr>
        <w:t>גרף 4</w:t>
      </w:r>
      <w:r w:rsidRPr="00261378">
        <w:rPr>
          <w:rFonts w:ascii="Alef" w:hAnsi="Alef" w:cs="Alef"/>
          <w:sz w:val="24"/>
          <w:szCs w:val="24"/>
          <w:rtl/>
        </w:rPr>
        <w:t>:</w:t>
      </w:r>
      <w:r w:rsidRPr="00261378">
        <w:rPr>
          <w:rFonts w:ascii="Alef" w:hAnsi="Alef" w:cs="Alef"/>
          <w:sz w:val="24"/>
          <w:szCs w:val="24"/>
          <w:rtl/>
        </w:rPr>
        <w:tab/>
      </w:r>
    </w:p>
    <w:p w14:paraId="3BE2998C" w14:textId="77777777" w:rsidR="006143F2" w:rsidRPr="00261378" w:rsidRDefault="006143F2" w:rsidP="006143F2">
      <w:pPr>
        <w:pStyle w:val="ListParagraph"/>
        <w:spacing w:before="240"/>
        <w:ind w:left="360"/>
        <w:rPr>
          <w:rFonts w:ascii="Alef" w:hAnsi="Alef" w:cs="Alef"/>
          <w:sz w:val="24"/>
          <w:szCs w:val="24"/>
          <w:rtl/>
        </w:rPr>
      </w:pPr>
    </w:p>
    <w:p w14:paraId="7ECF2792" w14:textId="2D8D14C9" w:rsidR="006871BE" w:rsidRPr="00261378" w:rsidRDefault="006143F2" w:rsidP="006143F2">
      <w:pPr>
        <w:pStyle w:val="ListParagraph"/>
        <w:numPr>
          <w:ilvl w:val="0"/>
          <w:numId w:val="32"/>
        </w:numPr>
        <w:spacing w:before="240" w:after="0" w:line="360" w:lineRule="auto"/>
        <w:jc w:val="both"/>
        <w:rPr>
          <w:rFonts w:ascii="Alef" w:hAnsi="Alef" w:cs="Alef"/>
          <w:sz w:val="24"/>
          <w:szCs w:val="24"/>
          <w:rtl/>
        </w:rPr>
      </w:pPr>
      <w:r w:rsidRPr="00261378">
        <w:rPr>
          <w:rFonts w:ascii="Alef" w:hAnsi="Alef" w:cs="Alef"/>
          <w:sz w:val="24"/>
          <w:szCs w:val="24"/>
          <w:rtl/>
        </w:rPr>
        <w:t>עולה מן הגרף כי מרבית הקטגוריות נמצאות ברמת ריכוזיות גבוהה מאוד וחלק קטן מהן הן קטגוריות לא ריכוזיות. בהשוואה לשנת 2022 (נתוני ריכוזיות 2022 מיוצגים בגרף 1 כמשולשים השחורים בגרף) נראה כי במרבית הקטגוריות חלה ירידה קלה ברמת הריכוזיות.</w:t>
      </w:r>
    </w:p>
    <w:p w14:paraId="2BC706EC" w14:textId="49C1B4B6" w:rsidR="00571DBB" w:rsidRPr="00261378" w:rsidRDefault="006143F2" w:rsidP="00571DBB">
      <w:pPr>
        <w:pStyle w:val="ListParagraph"/>
        <w:numPr>
          <w:ilvl w:val="0"/>
          <w:numId w:val="32"/>
        </w:numPr>
        <w:spacing w:after="160" w:line="360" w:lineRule="auto"/>
        <w:contextualSpacing w:val="0"/>
        <w:jc w:val="both"/>
        <w:rPr>
          <w:rFonts w:ascii="Alef" w:hAnsi="Alef" w:cs="Alef"/>
          <w:color w:val="272727"/>
          <w:sz w:val="24"/>
          <w:szCs w:val="24"/>
          <w:rtl/>
        </w:rPr>
      </w:pPr>
      <w:r w:rsidRPr="00261378">
        <w:rPr>
          <w:rFonts w:ascii="Alef" w:hAnsi="Alef" w:cs="Alef"/>
          <w:color w:val="272727"/>
          <w:sz w:val="24"/>
          <w:szCs w:val="24"/>
          <w:shd w:val="clear" w:color="auto" w:fill="FFFFFF"/>
          <w:rtl/>
        </w:rPr>
        <w:t>לאור העובדה ש</w:t>
      </w:r>
      <w:r w:rsidR="00571DBB" w:rsidRPr="00261378">
        <w:rPr>
          <w:rFonts w:ascii="Alef" w:hAnsi="Alef" w:cs="Alef"/>
          <w:color w:val="272727"/>
          <w:sz w:val="24"/>
          <w:szCs w:val="24"/>
          <w:shd w:val="clear" w:color="auto" w:fill="FFFFFF"/>
          <w:rtl/>
        </w:rPr>
        <w:t>קטגוריות מוצר רבות מאופיינות במיעוט שחקנים ובריכוזיות גבוהה</w:t>
      </w:r>
      <w:r w:rsidRPr="00261378">
        <w:rPr>
          <w:rFonts w:ascii="Alef" w:hAnsi="Alef" w:cs="Alef"/>
          <w:color w:val="272727"/>
          <w:sz w:val="24"/>
          <w:szCs w:val="24"/>
          <w:shd w:val="clear" w:color="auto" w:fill="FFFFFF"/>
          <w:rtl/>
        </w:rPr>
        <w:t xml:space="preserve">, </w:t>
      </w:r>
      <w:r w:rsidR="00571DBB" w:rsidRPr="00261378">
        <w:rPr>
          <w:rFonts w:ascii="Alef" w:hAnsi="Alef" w:cs="Alef"/>
          <w:color w:val="272727"/>
          <w:sz w:val="24"/>
          <w:szCs w:val="24"/>
          <w:shd w:val="clear" w:color="auto" w:fill="FFFFFF"/>
          <w:rtl/>
        </w:rPr>
        <w:t>קיים חשש ששליטה של ספק גדול בסידור המוצרים במדף תביא להפחתת התחרות באותה קטגורית מוצר ותקשה על כניסתם של ספקים קטנים לחנויות.</w:t>
      </w:r>
    </w:p>
    <w:p w14:paraId="0D61576A" w14:textId="77777777" w:rsidR="00571DBB" w:rsidRPr="00261378" w:rsidRDefault="00571DBB" w:rsidP="00571DBB">
      <w:pPr>
        <w:pStyle w:val="ListParagraph"/>
        <w:numPr>
          <w:ilvl w:val="0"/>
          <w:numId w:val="32"/>
        </w:numPr>
        <w:spacing w:after="160" w:line="360" w:lineRule="auto"/>
        <w:contextualSpacing w:val="0"/>
        <w:jc w:val="both"/>
        <w:rPr>
          <w:rFonts w:ascii="Alef" w:hAnsi="Alef" w:cs="Alef"/>
          <w:color w:val="272727"/>
          <w:sz w:val="24"/>
          <w:szCs w:val="24"/>
          <w:shd w:val="clear" w:color="auto" w:fill="FFFFFF"/>
        </w:rPr>
      </w:pPr>
      <w:r w:rsidRPr="00261378">
        <w:rPr>
          <w:rFonts w:ascii="Alef" w:hAnsi="Alef" w:cs="Alef"/>
          <w:color w:val="272727"/>
          <w:sz w:val="24"/>
          <w:szCs w:val="24"/>
          <w:rtl/>
        </w:rPr>
        <w:t>איסור הסדרנות נועד על מנת למנוע התערבות של הספקים הגדולים בסידור מדפי הקמעונאים ולוודא שספקים קטנים מצליחים להגיע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261378">
        <w:rPr>
          <w:rFonts w:ascii="Alef" w:hAnsi="Alef" w:cs="Alef"/>
          <w:color w:val="272727"/>
          <w:sz w:val="24"/>
          <w:szCs w:val="24"/>
          <w:shd w:val="clear" w:color="auto" w:fill="FFFFFF"/>
          <w:rtl/>
        </w:rPr>
        <w:t xml:space="preserve"> </w:t>
      </w:r>
    </w:p>
    <w:p w14:paraId="6A634284" w14:textId="225BDF36" w:rsidR="00571DBB" w:rsidRPr="00261378" w:rsidRDefault="00571DBB" w:rsidP="00571DBB">
      <w:pPr>
        <w:pStyle w:val="ListParagraph"/>
        <w:numPr>
          <w:ilvl w:val="0"/>
          <w:numId w:val="32"/>
        </w:numPr>
        <w:spacing w:after="160" w:line="360" w:lineRule="auto"/>
        <w:contextualSpacing w:val="0"/>
        <w:jc w:val="both"/>
        <w:rPr>
          <w:rFonts w:ascii="Alef" w:hAnsi="Alef" w:cs="Alef"/>
          <w:color w:val="272727"/>
          <w:sz w:val="24"/>
          <w:szCs w:val="24"/>
          <w:shd w:val="clear" w:color="auto" w:fill="FFFFFF"/>
          <w:rtl/>
        </w:rPr>
      </w:pPr>
      <w:r w:rsidRPr="00261378">
        <w:rPr>
          <w:rFonts w:ascii="Alef" w:hAnsi="Alef" w:cs="Alef"/>
          <w:sz w:val="24"/>
          <w:szCs w:val="24"/>
          <w:rtl/>
        </w:rPr>
        <w:t>כללי קידום התחרות בענף המזון, (פטור לפעולות ולהסדרים שעניינם סידור מצרכים בחנות של קמעונאי גדול (הוראת שעה), תשפ"ד – 2024 ("</w:t>
      </w:r>
      <w:r w:rsidRPr="00261378">
        <w:rPr>
          <w:rFonts w:ascii="Alef" w:hAnsi="Alef" w:cs="Alef"/>
          <w:b/>
          <w:bCs/>
          <w:sz w:val="24"/>
          <w:szCs w:val="24"/>
          <w:rtl/>
        </w:rPr>
        <w:t>הפטור הנוכחי</w:t>
      </w:r>
      <w:r w:rsidRPr="00261378">
        <w:rPr>
          <w:rFonts w:ascii="Alef" w:hAnsi="Alef" w:cs="Alef"/>
          <w:sz w:val="24"/>
          <w:szCs w:val="24"/>
          <w:rtl/>
        </w:rPr>
        <w:t xml:space="preserve">"), עומדים בתוקפם עד ליום 31.12.2024 ומאפשרים לספקים גדולים לסדר </w:t>
      </w:r>
      <w:r w:rsidRPr="00261378">
        <w:rPr>
          <w:rFonts w:ascii="Alef" w:hAnsi="Alef" w:cs="Alef"/>
          <w:sz w:val="24"/>
          <w:szCs w:val="24"/>
          <w:rtl/>
        </w:rPr>
        <w:lastRenderedPageBreak/>
        <w:t>את מצרכיהם על המדפים של קמעונאים גדולים בכפוף להתקיימותם של שלושה תנאים:</w:t>
      </w:r>
    </w:p>
    <w:p w14:paraId="7CFBA6F4" w14:textId="68A43CFE" w:rsidR="00571DBB" w:rsidRPr="00261378" w:rsidRDefault="00571DBB" w:rsidP="00261378">
      <w:pPr>
        <w:pStyle w:val="ListParagraph"/>
        <w:numPr>
          <w:ilvl w:val="0"/>
          <w:numId w:val="33"/>
        </w:numPr>
        <w:spacing w:after="0" w:line="360" w:lineRule="auto"/>
        <w:jc w:val="both"/>
        <w:rPr>
          <w:rFonts w:ascii="Alef" w:hAnsi="Alef" w:cs="Alef"/>
          <w:sz w:val="24"/>
          <w:szCs w:val="24"/>
        </w:rPr>
      </w:pPr>
      <w:r w:rsidRPr="00261378">
        <w:rPr>
          <w:rFonts w:ascii="Alef" w:hAnsi="Alef" w:cs="Alef"/>
          <w:sz w:val="24"/>
          <w:szCs w:val="24"/>
          <w:rtl/>
        </w:rPr>
        <w:t>סידור המצרכים נעשה לפי הוראות הקמעונאי על פי תכנית כתובה ומפורטת לסידור שטחי מכירה (</w:t>
      </w:r>
      <w:proofErr w:type="spellStart"/>
      <w:r w:rsidRPr="00261378">
        <w:rPr>
          <w:rFonts w:ascii="Alef" w:hAnsi="Alef" w:cs="Alef"/>
          <w:sz w:val="24"/>
          <w:szCs w:val="24"/>
          <w:rtl/>
        </w:rPr>
        <w:t>פלנוגרמה</w:t>
      </w:r>
      <w:proofErr w:type="spellEnd"/>
      <w:r w:rsidRPr="00261378">
        <w:rPr>
          <w:rFonts w:ascii="Alef" w:hAnsi="Alef" w:cs="Alef"/>
          <w:sz w:val="24"/>
          <w:szCs w:val="24"/>
          <w:rtl/>
        </w:rPr>
        <w:t xml:space="preserve">). </w:t>
      </w:r>
    </w:p>
    <w:p w14:paraId="5D40D926" w14:textId="77777777" w:rsidR="00571DBB" w:rsidRPr="00261378" w:rsidRDefault="00571DBB" w:rsidP="00571DBB">
      <w:pPr>
        <w:pStyle w:val="ListParagraph"/>
        <w:numPr>
          <w:ilvl w:val="0"/>
          <w:numId w:val="33"/>
        </w:numPr>
        <w:spacing w:after="160" w:line="360" w:lineRule="auto"/>
        <w:ind w:left="1077" w:hanging="357"/>
        <w:jc w:val="both"/>
        <w:rPr>
          <w:rFonts w:ascii="Alef" w:hAnsi="Alef" w:cs="Alef"/>
          <w:color w:val="272727"/>
          <w:sz w:val="24"/>
          <w:szCs w:val="24"/>
          <w:rtl/>
        </w:rPr>
      </w:pPr>
      <w:r w:rsidRPr="00261378">
        <w:rPr>
          <w:rFonts w:ascii="Alef" w:hAnsi="Alef" w:cs="Alef"/>
          <w:color w:val="272727"/>
          <w:sz w:val="24"/>
          <w:szCs w:val="24"/>
          <w:rtl/>
        </w:rPr>
        <w:t>הספק הגדול מסדר רק את המצרכים שלו ולא מצרכים של ספקים אחרים.</w:t>
      </w:r>
    </w:p>
    <w:p w14:paraId="308C6CA6" w14:textId="05003C5F" w:rsidR="00571DBB" w:rsidRPr="00261378" w:rsidRDefault="00571DBB" w:rsidP="006143F2">
      <w:pPr>
        <w:pStyle w:val="ListParagraph"/>
        <w:numPr>
          <w:ilvl w:val="0"/>
          <w:numId w:val="33"/>
        </w:numPr>
        <w:spacing w:after="160" w:line="360" w:lineRule="auto"/>
        <w:ind w:left="1077" w:hanging="357"/>
        <w:jc w:val="both"/>
        <w:rPr>
          <w:rFonts w:ascii="Alef" w:hAnsi="Alef" w:cs="Alef"/>
          <w:color w:val="272727"/>
          <w:sz w:val="24"/>
          <w:szCs w:val="24"/>
          <w:rtl/>
        </w:rPr>
      </w:pPr>
      <w:r w:rsidRPr="00261378">
        <w:rPr>
          <w:rFonts w:ascii="Alef" w:hAnsi="Alef" w:cs="Alef"/>
          <w:color w:val="272727"/>
          <w:sz w:val="24"/>
          <w:szCs w:val="24"/>
          <w:rtl/>
        </w:rPr>
        <w:t>הקמעונאי הגדול מפקח באופן שוטף שמעורבות הספק הגדול אינה חורגת מהתנאים שלעיל.</w:t>
      </w:r>
    </w:p>
    <w:p w14:paraId="2827B054" w14:textId="6A7DC470" w:rsidR="00261378" w:rsidRPr="00261378" w:rsidRDefault="00261378" w:rsidP="00261378">
      <w:pPr>
        <w:pStyle w:val="ListParagraph"/>
        <w:numPr>
          <w:ilvl w:val="0"/>
          <w:numId w:val="32"/>
        </w:numPr>
        <w:spacing w:after="160" w:line="360" w:lineRule="auto"/>
        <w:contextualSpacing w:val="0"/>
        <w:jc w:val="both"/>
        <w:rPr>
          <w:rFonts w:ascii="Alef" w:hAnsi="Alef" w:cs="Alef"/>
          <w:color w:val="272727"/>
          <w:sz w:val="24"/>
          <w:szCs w:val="24"/>
          <w:rtl/>
        </w:rPr>
      </w:pPr>
      <w:r w:rsidRPr="00261378">
        <w:rPr>
          <w:rFonts w:ascii="Alef" w:hAnsi="Alef" w:cs="Alef"/>
          <w:color w:val="272727"/>
          <w:sz w:val="24"/>
          <w:szCs w:val="24"/>
          <w:rtl/>
        </w:rPr>
        <w:t xml:space="preserve">נוכח הריכוזיות הגבוהה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הנוכחי אינו מפיג את החשש מהפעלת כוח של הספקים הגדולים ונדרש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591D0605" w14:textId="77777777" w:rsidR="00261378" w:rsidRPr="00261378" w:rsidRDefault="00261378" w:rsidP="00261378">
      <w:pPr>
        <w:pStyle w:val="ListParagraph"/>
        <w:numPr>
          <w:ilvl w:val="0"/>
          <w:numId w:val="32"/>
        </w:numPr>
        <w:spacing w:before="120" w:after="120" w:line="360" w:lineRule="auto"/>
        <w:contextualSpacing w:val="0"/>
        <w:jc w:val="both"/>
        <w:rPr>
          <w:rFonts w:ascii="Alef" w:hAnsi="Alef" w:cs="Alef"/>
          <w:color w:val="272727"/>
          <w:sz w:val="24"/>
          <w:szCs w:val="24"/>
          <w:shd w:val="clear" w:color="auto" w:fill="FFFFFF"/>
        </w:rPr>
      </w:pPr>
      <w:r w:rsidRPr="00261378">
        <w:rPr>
          <w:rFonts w:ascii="Alef" w:hAnsi="Alef" w:cs="Alef"/>
          <w:color w:val="272727"/>
          <w:sz w:val="24"/>
          <w:szCs w:val="24"/>
          <w:shd w:val="clear" w:color="auto" w:fill="FFFFFF"/>
          <w:rtl/>
        </w:rPr>
        <w:t>לפיכך, ביוני 2024, פרסמה הממונה על התחרות את כללי קידום התחרות בענף המזון (פטור לפעולות ולהסדרים שעניינם סידור מצרכים בחנות של קמעונאי גדול) (הוראת שעה) (מס'2), תשפ"ד-2024 ("</w:t>
      </w:r>
      <w:r w:rsidRPr="00261378">
        <w:rPr>
          <w:rFonts w:ascii="Alef" w:hAnsi="Alef" w:cs="Alef"/>
          <w:b/>
          <w:bCs/>
          <w:color w:val="272727"/>
          <w:sz w:val="24"/>
          <w:szCs w:val="24"/>
          <w:shd w:val="clear" w:color="auto" w:fill="FFFFFF"/>
          <w:rtl/>
        </w:rPr>
        <w:t>הפטור החדש</w:t>
      </w:r>
      <w:r w:rsidRPr="00261378">
        <w:rPr>
          <w:rFonts w:ascii="Alef" w:hAnsi="Alef" w:cs="Alef"/>
          <w:color w:val="272727"/>
          <w:sz w:val="24"/>
          <w:szCs w:val="24"/>
          <w:shd w:val="clear" w:color="auto" w:fill="FFFFFF"/>
          <w:rtl/>
        </w:rPr>
        <w:t xml:space="preserve">"). נוכח המלחמה, טענות על קושי לגייס עובדים ולאחר </w:t>
      </w:r>
      <w:proofErr w:type="spellStart"/>
      <w:r w:rsidRPr="00261378">
        <w:rPr>
          <w:rFonts w:ascii="Alef" w:hAnsi="Alef" w:cs="Alef"/>
          <w:color w:val="272727"/>
          <w:sz w:val="24"/>
          <w:szCs w:val="24"/>
          <w:shd w:val="clear" w:color="auto" w:fill="FFFFFF"/>
          <w:rtl/>
        </w:rPr>
        <w:t>ארכות</w:t>
      </w:r>
      <w:proofErr w:type="spellEnd"/>
      <w:r w:rsidRPr="00261378">
        <w:rPr>
          <w:rFonts w:ascii="Alef" w:hAnsi="Alef" w:cs="Alef"/>
          <w:color w:val="272727"/>
          <w:sz w:val="24"/>
          <w:szCs w:val="24"/>
          <w:shd w:val="clear" w:color="auto" w:fill="FFFFFF"/>
          <w:rtl/>
        </w:rPr>
        <w:t xml:space="preserve"> שנועדו לאפשר הערכות סל ספקי המזון </w:t>
      </w:r>
      <w:bookmarkStart w:id="0" w:name="_GoBack"/>
      <w:bookmarkEnd w:id="0"/>
      <w:r w:rsidRPr="00261378">
        <w:rPr>
          <w:rFonts w:ascii="Alef" w:hAnsi="Alef" w:cs="Alef"/>
          <w:color w:val="272727"/>
          <w:sz w:val="24"/>
          <w:szCs w:val="24"/>
          <w:shd w:val="clear" w:color="auto" w:fill="FFFFFF"/>
          <w:rtl/>
        </w:rPr>
        <w:t xml:space="preserve">וקמעונאות המזון לאיסור, הוחלט שהפטור החדש ייכנס לתוקף החל מיום 1 בינואר 2025.  </w:t>
      </w:r>
    </w:p>
    <w:p w14:paraId="59D8855B" w14:textId="3E623877" w:rsidR="00261378" w:rsidRPr="00261378" w:rsidRDefault="00261378" w:rsidP="00261378">
      <w:pPr>
        <w:pStyle w:val="ListParagraph"/>
        <w:numPr>
          <w:ilvl w:val="0"/>
          <w:numId w:val="32"/>
        </w:numPr>
        <w:spacing w:before="120" w:after="120" w:line="360" w:lineRule="auto"/>
        <w:contextualSpacing w:val="0"/>
        <w:jc w:val="both"/>
        <w:rPr>
          <w:rFonts w:ascii="Alef" w:hAnsi="Alef" w:cs="Alef"/>
          <w:color w:val="272727"/>
          <w:sz w:val="24"/>
          <w:szCs w:val="24"/>
          <w:shd w:val="clear" w:color="auto" w:fill="FFFFFF"/>
        </w:rPr>
      </w:pPr>
      <w:r w:rsidRPr="00261378">
        <w:rPr>
          <w:rFonts w:ascii="Alef" w:hAnsi="Alef" w:cs="Alef"/>
          <w:sz w:val="24"/>
          <w:szCs w:val="24"/>
          <w:rtl/>
        </w:rPr>
        <w:t xml:space="preserve">על פי הפטור החדש, ספקים גדולים יורשו לסדר מצרכים רק אצל קמעונאי 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6280DC6F" w14:textId="77777777" w:rsidR="00261378" w:rsidRPr="00261378" w:rsidRDefault="00261378" w:rsidP="00261378">
      <w:pPr>
        <w:pStyle w:val="ListParagraph"/>
        <w:numPr>
          <w:ilvl w:val="0"/>
          <w:numId w:val="32"/>
        </w:numPr>
        <w:spacing w:after="160" w:line="360" w:lineRule="auto"/>
        <w:contextualSpacing w:val="0"/>
        <w:jc w:val="both"/>
        <w:rPr>
          <w:rFonts w:ascii="Alef" w:hAnsi="Alef" w:cs="Alef"/>
          <w:color w:val="272727"/>
          <w:sz w:val="24"/>
          <w:szCs w:val="24"/>
          <w:shd w:val="clear" w:color="auto" w:fill="FFFFFF"/>
        </w:rPr>
      </w:pPr>
      <w:r w:rsidRPr="00261378">
        <w:rPr>
          <w:rFonts w:ascii="Alef" w:hAnsi="Alef" w:cs="Alef"/>
          <w:color w:val="272727"/>
          <w:sz w:val="24"/>
          <w:szCs w:val="24"/>
          <w:shd w:val="clear" w:color="auto" w:fill="FFFFFF"/>
          <w:rtl/>
        </w:rPr>
        <w:t xml:space="preserve">הפטור החדש צפוי להביא להגברת התחרות בין ספקי המזון ולהבטיח שתכלית החוק תתקיים. אצל קמעונאים שמוכרים מעט ספקים שאינם ספקים גדולים, לא יהיה </w:t>
      </w:r>
      <w:r w:rsidRPr="00261378">
        <w:rPr>
          <w:rFonts w:ascii="Alef" w:hAnsi="Alef" w:cs="Alef"/>
          <w:color w:val="272727"/>
          <w:sz w:val="24"/>
          <w:szCs w:val="24"/>
          <w:shd w:val="clear" w:color="auto" w:fill="FFFFFF"/>
          <w:rtl/>
        </w:rPr>
        <w:lastRenderedPageBreak/>
        <w:t>סידור מצרכים של ספקים גדולים וכך תתאפשר ביתר קלות כניסה של ספקים קטנים. אצל קמעונאים גדולים שחלק משמעותי ממכירותיהם הוא של מוצרי ספקים קטנים, תכלית החוק מתקיימת גם ללא איסור הסדרנות כך שאין מניעה לסידור מצרכים של ספקים גדולים בחנויותיהם.</w:t>
      </w:r>
    </w:p>
    <w:p w14:paraId="772524F3" w14:textId="77777777" w:rsidR="00261378" w:rsidRPr="00261378" w:rsidRDefault="00261378" w:rsidP="00261378">
      <w:pPr>
        <w:pStyle w:val="ListParagraph"/>
        <w:numPr>
          <w:ilvl w:val="0"/>
          <w:numId w:val="32"/>
        </w:numPr>
        <w:spacing w:after="160" w:line="360" w:lineRule="auto"/>
        <w:contextualSpacing w:val="0"/>
        <w:jc w:val="both"/>
        <w:rPr>
          <w:rFonts w:ascii="Alef" w:hAnsi="Alef" w:cs="Alef"/>
          <w:sz w:val="24"/>
          <w:szCs w:val="24"/>
        </w:rPr>
      </w:pPr>
      <w:r w:rsidRPr="00261378">
        <w:rPr>
          <w:rFonts w:ascii="Alef" w:hAnsi="Alef" w:cs="Alef"/>
          <w:sz w:val="24"/>
          <w:szCs w:val="24"/>
          <w:rtl/>
        </w:rPr>
        <w:t xml:space="preserve">הפטור החדש מייצר מצב לפיו קמעונאי המזון צריכים לגייס עובדים רבים שיסדרו את המצרכים על מדפיהם וספקי המזון צריכים להיפרד ממספר רב של סדרנים. לאחר שניתנו מספר </w:t>
      </w:r>
      <w:proofErr w:type="spellStart"/>
      <w:r w:rsidRPr="00261378">
        <w:rPr>
          <w:rFonts w:ascii="Alef" w:hAnsi="Alef" w:cs="Alef"/>
          <w:sz w:val="24"/>
          <w:szCs w:val="24"/>
          <w:rtl/>
        </w:rPr>
        <w:t>ארכות</w:t>
      </w:r>
      <w:proofErr w:type="spellEnd"/>
      <w:r w:rsidRPr="00261378">
        <w:rPr>
          <w:rFonts w:ascii="Alef" w:hAnsi="Alef" w:cs="Alef"/>
          <w:sz w:val="24"/>
          <w:szCs w:val="24"/>
          <w:rtl/>
        </w:rPr>
        <w:t xml:space="preserve"> מרבית ספקי המזון והקמעונאים נערכו לכניסתו לתוקף של הפטור החדש.</w:t>
      </w:r>
    </w:p>
    <w:p w14:paraId="72EF433F" w14:textId="3326EB7F" w:rsidR="00261378" w:rsidRPr="00261378" w:rsidRDefault="00261378" w:rsidP="00261378">
      <w:pPr>
        <w:pStyle w:val="ListParagraph"/>
        <w:numPr>
          <w:ilvl w:val="0"/>
          <w:numId w:val="32"/>
        </w:numPr>
        <w:spacing w:after="160" w:line="360" w:lineRule="auto"/>
        <w:contextualSpacing w:val="0"/>
        <w:jc w:val="both"/>
        <w:rPr>
          <w:rFonts w:ascii="Alef" w:hAnsi="Alef" w:cs="Alef"/>
          <w:sz w:val="24"/>
          <w:szCs w:val="24"/>
        </w:rPr>
      </w:pPr>
      <w:r w:rsidRPr="00261378">
        <w:rPr>
          <w:rFonts w:ascii="Alef" w:hAnsi="Alef" w:cs="Alef"/>
          <w:sz w:val="24"/>
          <w:szCs w:val="24"/>
          <w:rtl/>
        </w:rPr>
        <w:t>יחד עם זאת לאחרונה עלו טענות, בדבר הצורך של הקמעונאים, שאינם עומדים ברף הקבוע בפטור החדש, בתקופת היערכות נוספת בכל הנוגע לסידור חלב ומוצריו המקוררים. מרבית הקמעונאים ציינו שתקופת ההתארגנות שניתנה על ידי הממונה על התחרות, עד ליום 1 בינואר 2025, מאפשרת להם להתארגן ולסדר בעצמם, בכלל חנויותיהם, את כלל המוצרים שאינם מוצרי חלב. נטען כי קיימים מאפיינים ייחודיים למוצרי החלב אשר מערימים קשיים בסידור המקררים בהם מוצבים מוצרים אלו ושמצב המלחמה ומצוקת העובדים שנוצרה בעקבותיו</w:t>
      </w:r>
      <w:r w:rsidRPr="00261378" w:rsidDel="00617B0D">
        <w:rPr>
          <w:rFonts w:ascii="Alef" w:hAnsi="Alef" w:cs="Alef"/>
          <w:sz w:val="24"/>
          <w:szCs w:val="24"/>
          <w:rtl/>
        </w:rPr>
        <w:t xml:space="preserve"> </w:t>
      </w:r>
      <w:r w:rsidRPr="00261378">
        <w:rPr>
          <w:rFonts w:ascii="Alef" w:hAnsi="Alef" w:cs="Alef"/>
          <w:sz w:val="24"/>
          <w:szCs w:val="24"/>
          <w:rtl/>
        </w:rPr>
        <w:t xml:space="preserve">מחמיר.  </w:t>
      </w:r>
    </w:p>
    <w:p w14:paraId="5FF3B86D" w14:textId="77777777" w:rsidR="00261378" w:rsidRPr="00261378" w:rsidRDefault="00261378" w:rsidP="00261378">
      <w:pPr>
        <w:pStyle w:val="ListParagraph"/>
        <w:numPr>
          <w:ilvl w:val="0"/>
          <w:numId w:val="32"/>
        </w:numPr>
        <w:spacing w:before="120" w:after="120" w:line="360" w:lineRule="auto"/>
        <w:contextualSpacing w:val="0"/>
        <w:jc w:val="both"/>
        <w:rPr>
          <w:rFonts w:ascii="Alef" w:hAnsi="Alef" w:cs="Alef"/>
          <w:sz w:val="24"/>
          <w:szCs w:val="24"/>
        </w:rPr>
      </w:pPr>
      <w:r w:rsidRPr="00261378">
        <w:rPr>
          <w:rFonts w:ascii="Alef" w:hAnsi="Alef" w:cs="Alef"/>
          <w:sz w:val="24"/>
          <w:szCs w:val="24"/>
          <w:rtl/>
        </w:rPr>
        <w:t xml:space="preserve">בנוסף, גם ספקי מזון רבים ציינו בפני נציגי רשות התחרות כי הם נערכו כראוי במשך תקופת ההתארגנות שניתנה על ידי הממונה על התחרות, וכי עד לסיומה הם יהיו ערוכים לפעול על פי הפטור החדש מיד עם כניסתו לתוקף. יתירה מכך, על רקע העובדה שהפטור החדש נכנס לתוקפו בעוד חודש ועשרה ימים, ספקים רבים הבהירו שהם כבר ביצעו את כל ההכנות הנדרשות לקראת פיטורי עובדי הסדרנות ואף החלו את הליכי הפיטורין בפועל וכי לא ניתן יהיה להעסיק מחדש את אותם עובדים לתקופות קצרות. </w:t>
      </w:r>
    </w:p>
    <w:p w14:paraId="095544BC" w14:textId="29A06F23" w:rsidR="003461DE" w:rsidRPr="00261378" w:rsidRDefault="003461DE" w:rsidP="003461DE">
      <w:pPr>
        <w:pStyle w:val="Heading1"/>
        <w:rPr>
          <w:rFonts w:ascii="Alef" w:hAnsi="Alef" w:cs="Alef"/>
          <w:b/>
          <w:bCs/>
          <w:color w:val="auto"/>
          <w:sz w:val="24"/>
          <w:szCs w:val="24"/>
          <w:rtl/>
        </w:rPr>
      </w:pPr>
      <w:r w:rsidRPr="00261378">
        <w:rPr>
          <w:rFonts w:ascii="Alef" w:hAnsi="Alef" w:cs="Alef"/>
          <w:b/>
          <w:bCs/>
          <w:color w:val="auto"/>
          <w:sz w:val="24"/>
          <w:szCs w:val="24"/>
          <w:rtl/>
        </w:rPr>
        <w:t xml:space="preserve">תכלית הרגולציה – </w:t>
      </w:r>
    </w:p>
    <w:p w14:paraId="229459A6" w14:textId="50BE08BD" w:rsidR="004C6EAA" w:rsidRPr="001C1B55" w:rsidRDefault="004C6EAA" w:rsidP="001C1B55">
      <w:pPr>
        <w:jc w:val="both"/>
        <w:rPr>
          <w:rFonts w:ascii="Alef" w:hAnsi="Alef" w:cs="Alef"/>
          <w:sz w:val="24"/>
          <w:szCs w:val="24"/>
          <w:rtl/>
        </w:rPr>
      </w:pPr>
      <w:r w:rsidRPr="001C1B55">
        <w:rPr>
          <w:rFonts w:ascii="Alef" w:hAnsi="Alef" w:cs="Alef"/>
          <w:sz w:val="24"/>
          <w:szCs w:val="24"/>
          <w:rtl/>
        </w:rPr>
        <w:t>הרגולציה נועדה להבטיח אספקה סדירה של מוצרים לצרכנים הסופיים</w:t>
      </w:r>
      <w:r w:rsidR="003461DE" w:rsidRPr="001C1B55">
        <w:rPr>
          <w:rFonts w:ascii="Alef" w:hAnsi="Alef" w:cs="Alef"/>
          <w:sz w:val="24"/>
          <w:szCs w:val="24"/>
          <w:rtl/>
        </w:rPr>
        <w:t xml:space="preserve"> מבלי לייצר חשש לפגיעה בתחרות</w:t>
      </w:r>
      <w:r w:rsidRPr="001C1B55">
        <w:rPr>
          <w:rFonts w:ascii="Alef" w:hAnsi="Alef" w:cs="Alef"/>
          <w:sz w:val="24"/>
          <w:szCs w:val="24"/>
          <w:rtl/>
        </w:rPr>
        <w:t>.</w:t>
      </w:r>
    </w:p>
    <w:p w14:paraId="303FF692" w14:textId="7713A78B" w:rsidR="004C6EAA" w:rsidRPr="00261378" w:rsidRDefault="003461DE" w:rsidP="003461DE">
      <w:pPr>
        <w:jc w:val="both"/>
        <w:rPr>
          <w:rFonts w:ascii="Alef" w:hAnsi="Alef" w:cs="Alef"/>
          <w:sz w:val="24"/>
          <w:szCs w:val="24"/>
          <w:rtl/>
        </w:rPr>
      </w:pPr>
      <w:r w:rsidRPr="00261378">
        <w:rPr>
          <w:rFonts w:ascii="Alef" w:hAnsi="Alef" w:cs="Alef"/>
          <w:b/>
          <w:bCs/>
          <w:sz w:val="24"/>
          <w:szCs w:val="24"/>
          <w:rtl/>
        </w:rPr>
        <w:t>חלופות רגולטוריות –</w:t>
      </w:r>
    </w:p>
    <w:p w14:paraId="510342C4" w14:textId="77777777" w:rsidR="007C507E" w:rsidRPr="001C1B55" w:rsidRDefault="004C6EAA" w:rsidP="001C1B55">
      <w:pPr>
        <w:spacing w:line="360" w:lineRule="auto"/>
        <w:jc w:val="both"/>
        <w:rPr>
          <w:rFonts w:ascii="Alef" w:hAnsi="Alef" w:cs="Alef"/>
          <w:sz w:val="24"/>
          <w:szCs w:val="24"/>
        </w:rPr>
      </w:pPr>
      <w:r w:rsidRPr="001C1B55">
        <w:rPr>
          <w:rFonts w:ascii="Alef" w:hAnsi="Alef" w:cs="Alef"/>
          <w:b/>
          <w:bCs/>
          <w:sz w:val="24"/>
          <w:szCs w:val="24"/>
          <w:rtl/>
        </w:rPr>
        <w:t>חלופה 0</w:t>
      </w:r>
      <w:r w:rsidRPr="001C1B55">
        <w:rPr>
          <w:rFonts w:ascii="Alef" w:hAnsi="Alef" w:cs="Alef"/>
          <w:sz w:val="24"/>
          <w:szCs w:val="24"/>
          <w:rtl/>
        </w:rPr>
        <w:t xml:space="preserve"> – השארת המצב על כנו – </w:t>
      </w:r>
    </w:p>
    <w:p w14:paraId="60F2D011" w14:textId="05BF426A" w:rsidR="007C507E" w:rsidRPr="00261378" w:rsidRDefault="007C507E" w:rsidP="007C507E">
      <w:pPr>
        <w:pStyle w:val="ListParagraph"/>
        <w:spacing w:line="360" w:lineRule="auto"/>
        <w:jc w:val="both"/>
        <w:rPr>
          <w:rFonts w:ascii="Alef" w:hAnsi="Alef" w:cs="Alef"/>
          <w:sz w:val="24"/>
          <w:szCs w:val="24"/>
          <w:rtl/>
        </w:rPr>
      </w:pPr>
      <w:r w:rsidRPr="00261378">
        <w:rPr>
          <w:rFonts w:ascii="Alef" w:hAnsi="Alef" w:cs="Alef"/>
          <w:sz w:val="24"/>
          <w:szCs w:val="24"/>
          <w:rtl/>
        </w:rPr>
        <w:lastRenderedPageBreak/>
        <w:t xml:space="preserve">- </w:t>
      </w:r>
      <w:r w:rsidR="004C6EAA" w:rsidRPr="00261378">
        <w:rPr>
          <w:rFonts w:ascii="Alef" w:hAnsi="Alef" w:cs="Alef"/>
          <w:sz w:val="24"/>
          <w:szCs w:val="24"/>
          <w:rtl/>
        </w:rPr>
        <w:t>יתרונות החלופה –</w:t>
      </w:r>
      <w:r w:rsidR="00BB6924" w:rsidRPr="00261378">
        <w:rPr>
          <w:rFonts w:ascii="Alef" w:hAnsi="Alef" w:cs="Alef"/>
          <w:sz w:val="24"/>
          <w:szCs w:val="24"/>
          <w:rtl/>
        </w:rPr>
        <w:t xml:space="preserve"> החלופה תאפשר ודאות רגולטורית ועמידה בתאריך המקורי שבו צריך היה להיכנס הפטור החדש לתוקף ביחס לכלל המצרכים. </w:t>
      </w:r>
    </w:p>
    <w:p w14:paraId="257C1926" w14:textId="21E10FC9" w:rsidR="00BB6924" w:rsidRPr="00261378" w:rsidRDefault="007C507E" w:rsidP="007C507E">
      <w:pPr>
        <w:pStyle w:val="ListParagraph"/>
        <w:spacing w:line="360" w:lineRule="auto"/>
        <w:jc w:val="both"/>
        <w:rPr>
          <w:rFonts w:ascii="Alef" w:hAnsi="Alef" w:cs="Alef"/>
          <w:sz w:val="24"/>
          <w:szCs w:val="24"/>
          <w:rtl/>
        </w:rPr>
      </w:pPr>
      <w:r w:rsidRPr="00261378">
        <w:rPr>
          <w:rFonts w:ascii="Alef" w:hAnsi="Alef" w:cs="Alef"/>
          <w:sz w:val="24"/>
          <w:szCs w:val="24"/>
          <w:rtl/>
        </w:rPr>
        <w:t xml:space="preserve">- </w:t>
      </w:r>
      <w:r w:rsidR="004C6EAA" w:rsidRPr="00261378">
        <w:rPr>
          <w:rFonts w:ascii="Alef" w:hAnsi="Alef" w:cs="Alef"/>
          <w:sz w:val="24"/>
          <w:szCs w:val="24"/>
          <w:rtl/>
        </w:rPr>
        <w:t xml:space="preserve">חסרונות החלופה – </w:t>
      </w:r>
      <w:r w:rsidR="00BB6924" w:rsidRPr="00261378">
        <w:rPr>
          <w:rFonts w:ascii="Alef" w:hAnsi="Alef" w:cs="Alef"/>
          <w:sz w:val="24"/>
          <w:szCs w:val="24"/>
          <w:rtl/>
        </w:rPr>
        <w:t xml:space="preserve">לאור המאפיינים הייחודיים של סידור מצרכי החלב ולאור המחסור בעובדים, החלת הפטור החדש בעת הזו על מצרכי החלב </w:t>
      </w:r>
      <w:r w:rsidR="00CE69ED" w:rsidRPr="00261378">
        <w:rPr>
          <w:rFonts w:ascii="Alef" w:hAnsi="Alef" w:cs="Alef"/>
          <w:sz w:val="24"/>
          <w:szCs w:val="24"/>
          <w:rtl/>
        </w:rPr>
        <w:t>עשויה לייצר מצב שבו מצרכים לא יסודרו על מדפי הקמעונאים</w:t>
      </w:r>
      <w:r w:rsidR="00AD31F3" w:rsidRPr="00261378">
        <w:rPr>
          <w:rFonts w:ascii="Alef" w:hAnsi="Alef" w:cs="Alef"/>
          <w:sz w:val="24"/>
          <w:szCs w:val="24"/>
          <w:rtl/>
        </w:rPr>
        <w:t xml:space="preserve"> ויגרם נזק לצרכנים, לקמעונאים ולספקי המזון</w:t>
      </w:r>
      <w:r w:rsidR="00CE69ED" w:rsidRPr="00261378">
        <w:rPr>
          <w:rFonts w:ascii="Alef" w:hAnsi="Alef" w:cs="Alef"/>
          <w:sz w:val="24"/>
          <w:szCs w:val="24"/>
          <w:rtl/>
        </w:rPr>
        <w:t xml:space="preserve">. </w:t>
      </w:r>
    </w:p>
    <w:p w14:paraId="3BC49DE0" w14:textId="0040D2A4" w:rsidR="004C6EAA" w:rsidRPr="001C1B55" w:rsidRDefault="004C6EAA" w:rsidP="001C1B55">
      <w:pPr>
        <w:spacing w:line="360" w:lineRule="auto"/>
        <w:jc w:val="both"/>
        <w:rPr>
          <w:rFonts w:ascii="Alef" w:hAnsi="Alef" w:cs="Alef"/>
          <w:sz w:val="24"/>
          <w:szCs w:val="24"/>
          <w:rtl/>
        </w:rPr>
      </w:pPr>
      <w:r w:rsidRPr="001C1B55">
        <w:rPr>
          <w:rFonts w:ascii="Alef" w:hAnsi="Alef" w:cs="Alef"/>
          <w:b/>
          <w:bCs/>
          <w:sz w:val="24"/>
          <w:szCs w:val="24"/>
          <w:rtl/>
        </w:rPr>
        <w:t xml:space="preserve">חלופה 1 </w:t>
      </w:r>
      <w:r w:rsidRPr="001C1B55">
        <w:rPr>
          <w:rFonts w:ascii="Alef" w:hAnsi="Alef" w:cs="Alef"/>
          <w:sz w:val="24"/>
          <w:szCs w:val="24"/>
          <w:rtl/>
        </w:rPr>
        <w:t xml:space="preserve">– </w:t>
      </w:r>
      <w:r w:rsidR="00CE69ED" w:rsidRPr="001C1B55">
        <w:rPr>
          <w:rFonts w:ascii="Alef" w:hAnsi="Alef" w:cs="Alef"/>
          <w:sz w:val="24"/>
          <w:szCs w:val="24"/>
          <w:rtl/>
        </w:rPr>
        <w:t xml:space="preserve">לדחות את כניסת התוקף של הפטור החדש ביחס לכלל המצרכים. </w:t>
      </w:r>
    </w:p>
    <w:p w14:paraId="2B9598E0" w14:textId="77777777" w:rsidR="007C507E" w:rsidRPr="00261378" w:rsidRDefault="004C6EAA" w:rsidP="007C507E">
      <w:pPr>
        <w:pStyle w:val="ListParagraph"/>
        <w:numPr>
          <w:ilvl w:val="0"/>
          <w:numId w:val="36"/>
        </w:numPr>
        <w:spacing w:line="360" w:lineRule="auto"/>
        <w:jc w:val="both"/>
        <w:rPr>
          <w:rFonts w:ascii="Alef" w:hAnsi="Alef" w:cs="Alef"/>
          <w:sz w:val="24"/>
          <w:szCs w:val="24"/>
        </w:rPr>
      </w:pPr>
      <w:r w:rsidRPr="00261378">
        <w:rPr>
          <w:rFonts w:ascii="Alef" w:hAnsi="Alef" w:cs="Alef"/>
          <w:sz w:val="24"/>
          <w:szCs w:val="24"/>
          <w:rtl/>
        </w:rPr>
        <w:t xml:space="preserve">יתרונות החלופה – </w:t>
      </w:r>
      <w:r w:rsidR="00CE69ED" w:rsidRPr="00261378">
        <w:rPr>
          <w:rFonts w:ascii="Alef" w:hAnsi="Alef" w:cs="Alef"/>
          <w:sz w:val="24"/>
          <w:szCs w:val="24"/>
          <w:rtl/>
        </w:rPr>
        <w:t xml:space="preserve">החלופה תפחית באופן משמעותי את הנטל המוטל כעת על הקמעונאים </w:t>
      </w:r>
      <w:r w:rsidR="00955696" w:rsidRPr="00261378">
        <w:rPr>
          <w:rFonts w:ascii="Alef" w:hAnsi="Alef" w:cs="Alef"/>
          <w:sz w:val="24"/>
          <w:szCs w:val="24"/>
          <w:rtl/>
        </w:rPr>
        <w:t xml:space="preserve">ביחס לגיוס עובדים ותאפשר להם תקופה התארגנות נוספת לכניסת הפטור החדש לתוקף. </w:t>
      </w:r>
    </w:p>
    <w:p w14:paraId="439629EB" w14:textId="2CDCE6B5" w:rsidR="007C507E" w:rsidRPr="00261378" w:rsidRDefault="004C6EAA" w:rsidP="007C507E">
      <w:pPr>
        <w:pStyle w:val="ListParagraph"/>
        <w:numPr>
          <w:ilvl w:val="0"/>
          <w:numId w:val="36"/>
        </w:numPr>
        <w:spacing w:line="360" w:lineRule="auto"/>
        <w:jc w:val="both"/>
        <w:rPr>
          <w:rFonts w:ascii="Alef" w:hAnsi="Alef" w:cs="Alef"/>
          <w:sz w:val="24"/>
          <w:szCs w:val="24"/>
        </w:rPr>
      </w:pPr>
      <w:r w:rsidRPr="00261378">
        <w:rPr>
          <w:rFonts w:ascii="Alef" w:hAnsi="Alef" w:cs="Alef"/>
          <w:sz w:val="24"/>
          <w:szCs w:val="24"/>
          <w:rtl/>
        </w:rPr>
        <w:t xml:space="preserve">חסרונות החלופה – </w:t>
      </w:r>
      <w:r w:rsidR="00955696" w:rsidRPr="00261378">
        <w:rPr>
          <w:rFonts w:ascii="Alef" w:hAnsi="Alef" w:cs="Alef"/>
          <w:sz w:val="24"/>
          <w:szCs w:val="24"/>
          <w:rtl/>
        </w:rPr>
        <w:t xml:space="preserve">כפי שפורט לעיל, פטור הסדרנות החדש נועד על מנת לשפר את התחרות בתחום במזון ולמנוע פגיעה בתחרות על ידי ספקי מזון גדולים. כמו כן, כפי שצוין לעיל, קמעונאי המזון וספקי המזון כבר נערכו לכניסתו של הפטור החדש לתוקף וביכולתם לעמוד בהוראותיו ביחס למצרכים שאינם מצרכי חלב מקוררים. </w:t>
      </w:r>
      <w:r w:rsidR="002951B0" w:rsidRPr="00261378">
        <w:rPr>
          <w:rFonts w:ascii="Alef" w:hAnsi="Alef" w:cs="Alef"/>
          <w:sz w:val="24"/>
          <w:szCs w:val="24"/>
          <w:rtl/>
        </w:rPr>
        <w:t xml:space="preserve">ספקי המזון אף החלו בהליכי פיטורין של עובדים. לאור זאת, </w:t>
      </w:r>
      <w:r w:rsidR="00955696" w:rsidRPr="00261378">
        <w:rPr>
          <w:rFonts w:ascii="Alef" w:hAnsi="Alef" w:cs="Alef"/>
          <w:sz w:val="24"/>
          <w:szCs w:val="24"/>
          <w:rtl/>
        </w:rPr>
        <w:t xml:space="preserve">דחיית כניסת כלל הפטור לתוקף </w:t>
      </w:r>
      <w:r w:rsidR="00AD31F3" w:rsidRPr="00261378">
        <w:rPr>
          <w:rFonts w:ascii="Alef" w:hAnsi="Alef" w:cs="Alef"/>
          <w:sz w:val="24"/>
          <w:szCs w:val="24"/>
          <w:rtl/>
        </w:rPr>
        <w:t>תעכב את שיפור המצב התחרותי, תפגע בצרכנים</w:t>
      </w:r>
      <w:r w:rsidR="002951B0" w:rsidRPr="00261378">
        <w:rPr>
          <w:rFonts w:ascii="Alef" w:hAnsi="Alef" w:cs="Alef"/>
          <w:sz w:val="24"/>
          <w:szCs w:val="24"/>
          <w:rtl/>
        </w:rPr>
        <w:t xml:space="preserve"> ותייצר </w:t>
      </w:r>
      <w:r w:rsidR="00AD31F3" w:rsidRPr="00261378">
        <w:rPr>
          <w:rFonts w:ascii="Alef" w:hAnsi="Alef" w:cs="Alef"/>
          <w:sz w:val="24"/>
          <w:szCs w:val="24"/>
          <w:rtl/>
        </w:rPr>
        <w:t>קשיים בעבודת הספקים והקמעונאים ועובדיהם</w:t>
      </w:r>
      <w:r w:rsidR="002951B0" w:rsidRPr="00261378">
        <w:rPr>
          <w:rFonts w:ascii="Alef" w:hAnsi="Alef" w:cs="Alef"/>
          <w:sz w:val="24"/>
          <w:szCs w:val="24"/>
          <w:rtl/>
        </w:rPr>
        <w:t>.</w:t>
      </w:r>
    </w:p>
    <w:p w14:paraId="7BA35FD8" w14:textId="77777777" w:rsidR="007C507E" w:rsidRPr="001C1B55" w:rsidRDefault="004C6EAA" w:rsidP="001C1B55">
      <w:pPr>
        <w:spacing w:line="360" w:lineRule="auto"/>
        <w:ind w:left="360"/>
        <w:jc w:val="both"/>
        <w:rPr>
          <w:rFonts w:ascii="Alef" w:hAnsi="Alef" w:cs="Alef"/>
          <w:sz w:val="24"/>
          <w:szCs w:val="24"/>
        </w:rPr>
      </w:pPr>
      <w:r w:rsidRPr="001C1B55">
        <w:rPr>
          <w:rFonts w:ascii="Alef" w:hAnsi="Alef" w:cs="Alef"/>
          <w:b/>
          <w:bCs/>
          <w:sz w:val="24"/>
          <w:szCs w:val="24"/>
          <w:rtl/>
        </w:rPr>
        <w:t>חלופה 2</w:t>
      </w:r>
      <w:r w:rsidRPr="001C1B55">
        <w:rPr>
          <w:rFonts w:ascii="Alef" w:hAnsi="Alef" w:cs="Alef"/>
          <w:sz w:val="24"/>
          <w:szCs w:val="24"/>
          <w:rtl/>
        </w:rPr>
        <w:t xml:space="preserve"> – </w:t>
      </w:r>
      <w:r w:rsidR="002951B0" w:rsidRPr="001C1B55">
        <w:rPr>
          <w:rFonts w:ascii="Alef" w:hAnsi="Alef" w:cs="Alef"/>
          <w:sz w:val="24"/>
          <w:szCs w:val="24"/>
          <w:rtl/>
        </w:rPr>
        <w:t xml:space="preserve">דחיית </w:t>
      </w:r>
      <w:r w:rsidR="007522D8" w:rsidRPr="001C1B55">
        <w:rPr>
          <w:rFonts w:ascii="Alef" w:hAnsi="Alef" w:cs="Alef"/>
          <w:sz w:val="24"/>
          <w:szCs w:val="24"/>
          <w:rtl/>
        </w:rPr>
        <w:t>התחולה של הפטור החדש על מצרכי חלב מקוררים בשישה חודשים</w:t>
      </w:r>
      <w:r w:rsidR="007C507E" w:rsidRPr="001C1B55">
        <w:rPr>
          <w:rFonts w:ascii="Alef" w:hAnsi="Alef" w:cs="Alef"/>
          <w:sz w:val="24"/>
          <w:szCs w:val="24"/>
          <w:rtl/>
        </w:rPr>
        <w:t>.</w:t>
      </w:r>
      <w:r w:rsidR="007522D8" w:rsidRPr="001C1B55">
        <w:rPr>
          <w:rFonts w:ascii="Alef" w:hAnsi="Alef" w:cs="Alef"/>
          <w:sz w:val="24"/>
          <w:szCs w:val="24"/>
          <w:rtl/>
        </w:rPr>
        <w:t xml:space="preserve"> </w:t>
      </w:r>
    </w:p>
    <w:p w14:paraId="25E912C9" w14:textId="318B7769" w:rsidR="007C507E" w:rsidRPr="00261378" w:rsidRDefault="004C6EAA" w:rsidP="007C507E">
      <w:pPr>
        <w:pStyle w:val="ListParagraph"/>
        <w:numPr>
          <w:ilvl w:val="0"/>
          <w:numId w:val="36"/>
        </w:numPr>
        <w:spacing w:line="360" w:lineRule="auto"/>
        <w:jc w:val="both"/>
        <w:rPr>
          <w:rFonts w:ascii="Alef" w:hAnsi="Alef" w:cs="Alef"/>
          <w:sz w:val="24"/>
          <w:szCs w:val="24"/>
        </w:rPr>
      </w:pPr>
      <w:r w:rsidRPr="00261378">
        <w:rPr>
          <w:rFonts w:ascii="Alef" w:hAnsi="Alef" w:cs="Alef"/>
          <w:sz w:val="24"/>
          <w:szCs w:val="24"/>
          <w:rtl/>
        </w:rPr>
        <w:t xml:space="preserve">יתרונות החלופה – החלופה </w:t>
      </w:r>
      <w:r w:rsidR="007522D8" w:rsidRPr="00261378">
        <w:rPr>
          <w:rFonts w:ascii="Alef" w:hAnsi="Alef" w:cs="Alef"/>
          <w:sz w:val="24"/>
          <w:szCs w:val="24"/>
          <w:rtl/>
        </w:rPr>
        <w:t>תאפשר זמן התארגנות נוסף לקמעונאי המזון ביחס לסידור מצרכי חלב מקוררים ותאפשר</w:t>
      </w:r>
      <w:r w:rsidRPr="00261378">
        <w:rPr>
          <w:rFonts w:ascii="Alef" w:hAnsi="Alef" w:cs="Alef"/>
          <w:sz w:val="24"/>
          <w:szCs w:val="24"/>
          <w:rtl/>
        </w:rPr>
        <w:t xml:space="preserve"> אספקה סדירה של </w:t>
      </w:r>
      <w:r w:rsidR="007522D8" w:rsidRPr="00261378">
        <w:rPr>
          <w:rFonts w:ascii="Alef" w:hAnsi="Alef" w:cs="Alef"/>
          <w:sz w:val="24"/>
          <w:szCs w:val="24"/>
          <w:rtl/>
        </w:rPr>
        <w:t>מצרכים</w:t>
      </w:r>
      <w:r w:rsidRPr="00261378">
        <w:rPr>
          <w:rFonts w:ascii="Alef" w:hAnsi="Alef" w:cs="Alef"/>
          <w:sz w:val="24"/>
          <w:szCs w:val="24"/>
          <w:rtl/>
        </w:rPr>
        <w:t xml:space="preserve"> </w:t>
      </w:r>
      <w:r w:rsidR="007522D8" w:rsidRPr="00261378">
        <w:rPr>
          <w:rFonts w:ascii="Alef" w:hAnsi="Alef" w:cs="Alef"/>
          <w:sz w:val="24"/>
          <w:szCs w:val="24"/>
          <w:rtl/>
        </w:rPr>
        <w:t>על גבי מדפי הקמעונאים</w:t>
      </w:r>
      <w:r w:rsidRPr="00261378">
        <w:rPr>
          <w:rFonts w:ascii="Alef" w:hAnsi="Alef" w:cs="Alef"/>
          <w:sz w:val="24"/>
          <w:szCs w:val="24"/>
          <w:rtl/>
        </w:rPr>
        <w:t xml:space="preserve">. החלופה מייצרת איזון בין </w:t>
      </w:r>
      <w:r w:rsidR="00E7512F" w:rsidRPr="00261378">
        <w:rPr>
          <w:rFonts w:ascii="Alef" w:hAnsi="Alef" w:cs="Alef"/>
          <w:sz w:val="24"/>
          <w:szCs w:val="24"/>
          <w:rtl/>
        </w:rPr>
        <w:t xml:space="preserve">כניסתו של הפטור החדש לתוקף ביחס לכלל המצרכים שאינם מצרכי חלב מקוררים לבין </w:t>
      </w:r>
      <w:r w:rsidRPr="00261378">
        <w:rPr>
          <w:rFonts w:ascii="Alef" w:hAnsi="Alef" w:cs="Alef"/>
          <w:sz w:val="24"/>
          <w:szCs w:val="24"/>
          <w:rtl/>
        </w:rPr>
        <w:t>הבטחת אספקה סדירה של מ</w:t>
      </w:r>
      <w:r w:rsidR="007522D8" w:rsidRPr="00261378">
        <w:rPr>
          <w:rFonts w:ascii="Alef" w:hAnsi="Alef" w:cs="Alef"/>
          <w:sz w:val="24"/>
          <w:szCs w:val="24"/>
          <w:rtl/>
        </w:rPr>
        <w:t>צרכים</w:t>
      </w:r>
      <w:r w:rsidRPr="00261378">
        <w:rPr>
          <w:rFonts w:ascii="Alef" w:hAnsi="Alef" w:cs="Alef"/>
          <w:sz w:val="24"/>
          <w:szCs w:val="24"/>
          <w:rtl/>
        </w:rPr>
        <w:t xml:space="preserve"> לצרכנים</w:t>
      </w:r>
      <w:r w:rsidR="00E7512F" w:rsidRPr="00261378">
        <w:rPr>
          <w:rFonts w:ascii="Alef" w:hAnsi="Alef" w:cs="Alef"/>
          <w:sz w:val="24"/>
          <w:szCs w:val="24"/>
          <w:rtl/>
        </w:rPr>
        <w:t>.</w:t>
      </w:r>
    </w:p>
    <w:p w14:paraId="4BB18426" w14:textId="38AED333" w:rsidR="004C6EAA" w:rsidRPr="00261378" w:rsidRDefault="004C6EAA" w:rsidP="007C507E">
      <w:pPr>
        <w:pStyle w:val="ListParagraph"/>
        <w:numPr>
          <w:ilvl w:val="0"/>
          <w:numId w:val="36"/>
        </w:numPr>
        <w:spacing w:line="360" w:lineRule="auto"/>
        <w:jc w:val="both"/>
        <w:rPr>
          <w:rFonts w:ascii="Alef" w:hAnsi="Alef" w:cs="Alef"/>
          <w:sz w:val="24"/>
          <w:szCs w:val="24"/>
          <w:rtl/>
        </w:rPr>
      </w:pPr>
      <w:r w:rsidRPr="00261378">
        <w:rPr>
          <w:rFonts w:ascii="Alef" w:hAnsi="Alef" w:cs="Alef"/>
          <w:sz w:val="24"/>
          <w:szCs w:val="24"/>
          <w:rtl/>
        </w:rPr>
        <w:t xml:space="preserve">חסרונות החלופה – </w:t>
      </w:r>
      <w:r w:rsidR="00E7512F" w:rsidRPr="00261378">
        <w:rPr>
          <w:rFonts w:ascii="Alef" w:hAnsi="Alef" w:cs="Alef"/>
          <w:color w:val="272727"/>
          <w:sz w:val="24"/>
          <w:szCs w:val="24"/>
          <w:shd w:val="clear" w:color="auto" w:fill="FFFFFF"/>
          <w:rtl/>
        </w:rPr>
        <w:t>החלופה</w:t>
      </w:r>
      <w:r w:rsidR="00E7512F" w:rsidRPr="00261378">
        <w:rPr>
          <w:rFonts w:ascii="Alef" w:hAnsi="Alef" w:cs="Alef"/>
          <w:sz w:val="24"/>
          <w:szCs w:val="24"/>
          <w:rtl/>
        </w:rPr>
        <w:t xml:space="preserve"> עשויה לעכב את השפעתו התחרותית של הפטור החדש על מצרכי חלב מקוררים</w:t>
      </w:r>
      <w:r w:rsidR="00052A37" w:rsidRPr="00261378">
        <w:rPr>
          <w:rFonts w:ascii="Alef" w:hAnsi="Alef" w:cs="Alef"/>
          <w:sz w:val="24"/>
          <w:szCs w:val="24"/>
          <w:rtl/>
        </w:rPr>
        <w:t xml:space="preserve">. </w:t>
      </w:r>
    </w:p>
    <w:p w14:paraId="1FF8A69A" w14:textId="77777777" w:rsidR="001C1B55" w:rsidRDefault="001C1B55" w:rsidP="001C1B55">
      <w:pPr>
        <w:pStyle w:val="ListParagraph"/>
        <w:spacing w:before="120" w:after="120" w:line="360" w:lineRule="auto"/>
        <w:jc w:val="both"/>
        <w:rPr>
          <w:rFonts w:ascii="Alef" w:hAnsi="Alef" w:cs="Alef"/>
          <w:sz w:val="24"/>
          <w:szCs w:val="24"/>
        </w:rPr>
      </w:pPr>
    </w:p>
    <w:p w14:paraId="3B46D7F1" w14:textId="4A6F03FC" w:rsidR="007C507E" w:rsidRPr="00261378" w:rsidRDefault="007C507E" w:rsidP="007C507E">
      <w:pPr>
        <w:pStyle w:val="ListParagraph"/>
        <w:numPr>
          <w:ilvl w:val="0"/>
          <w:numId w:val="32"/>
        </w:numPr>
        <w:spacing w:before="120" w:after="120" w:line="360" w:lineRule="auto"/>
        <w:jc w:val="both"/>
        <w:rPr>
          <w:rFonts w:ascii="Alef" w:hAnsi="Alef" w:cs="Alef"/>
          <w:sz w:val="24"/>
          <w:szCs w:val="24"/>
        </w:rPr>
      </w:pPr>
      <w:r w:rsidRPr="00261378">
        <w:rPr>
          <w:rFonts w:ascii="Alef" w:hAnsi="Alef" w:cs="Alef"/>
          <w:sz w:val="24"/>
          <w:szCs w:val="24"/>
          <w:rtl/>
        </w:rPr>
        <w:lastRenderedPageBreak/>
        <w:t xml:space="preserve">לאחר בחינת הדברים, מצאה הממונה לנכון לאמץ את חלופה 2 ולדחות ב-6 חודשים את כניסת הפטור החדש לתוקף ביחס למצרכי החלב המקוררים בלבד. </w:t>
      </w:r>
    </w:p>
    <w:p w14:paraId="27D71431" w14:textId="32E309C1" w:rsidR="007C507E" w:rsidRPr="00261378" w:rsidRDefault="007C507E" w:rsidP="007C507E">
      <w:pPr>
        <w:pStyle w:val="ListParagraph"/>
        <w:numPr>
          <w:ilvl w:val="0"/>
          <w:numId w:val="32"/>
        </w:numPr>
        <w:spacing w:before="120" w:after="120" w:line="360" w:lineRule="auto"/>
        <w:jc w:val="both"/>
        <w:rPr>
          <w:rFonts w:ascii="Alef" w:hAnsi="Alef" w:cs="Alef"/>
          <w:sz w:val="24"/>
          <w:szCs w:val="24"/>
        </w:rPr>
      </w:pPr>
      <w:r w:rsidRPr="00261378">
        <w:rPr>
          <w:rFonts w:ascii="Alef" w:hAnsi="Alef" w:cs="Alef"/>
          <w:sz w:val="24"/>
          <w:szCs w:val="24"/>
          <w:rtl/>
        </w:rPr>
        <w:t>ביחס לכל שאר המצרכים, אין שינוי במועד הכניסה לתוקף של הפטור החדש, אשר יכנס לתוקף ביום 1 בינואר 2025.</w:t>
      </w:r>
    </w:p>
    <w:p w14:paraId="2C9A749F" w14:textId="40C2DDC4" w:rsidR="004C6EAA" w:rsidRPr="00261378" w:rsidRDefault="004C6EAA" w:rsidP="007C507E">
      <w:pPr>
        <w:spacing w:line="360" w:lineRule="auto"/>
        <w:jc w:val="both"/>
        <w:rPr>
          <w:rFonts w:ascii="Alef" w:hAnsi="Alef" w:cs="Alef"/>
          <w:color w:val="272727"/>
          <w:sz w:val="24"/>
          <w:szCs w:val="24"/>
          <w:shd w:val="clear" w:color="auto" w:fill="FFFFFF"/>
          <w:rtl/>
        </w:rPr>
      </w:pPr>
    </w:p>
    <w:p w14:paraId="42FB3734" w14:textId="44D77919" w:rsidR="00DA1310" w:rsidRPr="00261378" w:rsidRDefault="00DA1310" w:rsidP="007C507E">
      <w:pPr>
        <w:spacing w:line="360" w:lineRule="auto"/>
        <w:jc w:val="both"/>
        <w:rPr>
          <w:rFonts w:ascii="Alef" w:hAnsi="Alef" w:cs="Alef"/>
          <w:sz w:val="24"/>
          <w:szCs w:val="24"/>
          <w:rtl/>
        </w:rPr>
      </w:pPr>
    </w:p>
    <w:sectPr w:rsidR="00DA1310" w:rsidRPr="00261378" w:rsidSect="00DA1310">
      <w:footerReference w:type="default" r:id="rId12"/>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098B7" w14:textId="77777777" w:rsidR="00DC0231" w:rsidRDefault="00DC0231" w:rsidP="001A2B54">
      <w:pPr>
        <w:spacing w:after="0" w:line="240" w:lineRule="auto"/>
      </w:pPr>
      <w:r>
        <w:separator/>
      </w:r>
    </w:p>
  </w:endnote>
  <w:endnote w:type="continuationSeparator" w:id="0">
    <w:p w14:paraId="23CC76BB" w14:textId="77777777" w:rsidR="00DC0231" w:rsidRDefault="00DC0231" w:rsidP="001A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f">
    <w:panose1 w:val="00000500000000000000"/>
    <w:charset w:val="00"/>
    <w:family w:val="auto"/>
    <w:pitch w:val="variable"/>
    <w:sig w:usb0="00000807" w:usb1="40000000" w:usb2="00000000" w:usb3="00000000" w:csb0="000000B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David"/>
        <w:sz w:val="24"/>
        <w:szCs w:val="24"/>
        <w:rtl/>
      </w:rPr>
      <w:id w:val="164445418"/>
      <w:docPartObj>
        <w:docPartGallery w:val="Page Numbers (Bottom of Page)"/>
        <w:docPartUnique/>
      </w:docPartObj>
    </w:sdtPr>
    <w:sdtEndPr>
      <w:rPr>
        <w:cs/>
      </w:rPr>
    </w:sdtEndPr>
    <w:sdtContent>
      <w:p w14:paraId="159B9952" w14:textId="3BBF60E8" w:rsidR="00956480" w:rsidRPr="00DA1310" w:rsidRDefault="00956480">
        <w:pPr>
          <w:pStyle w:val="Footer"/>
          <w:jc w:val="center"/>
          <w:rPr>
            <w:rFonts w:cs="David"/>
            <w:sz w:val="24"/>
            <w:szCs w:val="24"/>
            <w:rtl/>
            <w:cs/>
          </w:rPr>
        </w:pPr>
        <w:r w:rsidRPr="00DA1310">
          <w:rPr>
            <w:rFonts w:cs="David"/>
            <w:sz w:val="24"/>
            <w:szCs w:val="24"/>
          </w:rPr>
          <w:fldChar w:fldCharType="begin"/>
        </w:r>
        <w:r w:rsidRPr="00DA1310">
          <w:rPr>
            <w:rFonts w:cs="David"/>
            <w:sz w:val="24"/>
            <w:szCs w:val="24"/>
            <w:rtl/>
            <w:cs/>
          </w:rPr>
          <w:instrText>PAGE   \* MERGEFORMAT</w:instrText>
        </w:r>
        <w:r w:rsidRPr="00DA1310">
          <w:rPr>
            <w:rFonts w:cs="David"/>
            <w:sz w:val="24"/>
            <w:szCs w:val="24"/>
          </w:rPr>
          <w:fldChar w:fldCharType="separate"/>
        </w:r>
        <w:r w:rsidR="00AE0B2B" w:rsidRPr="00AE0B2B">
          <w:rPr>
            <w:rFonts w:cs="David"/>
            <w:noProof/>
            <w:sz w:val="24"/>
            <w:szCs w:val="24"/>
            <w:rtl/>
            <w:lang w:val="he-IL"/>
          </w:rPr>
          <w:t>11</w:t>
        </w:r>
        <w:r w:rsidRPr="00DA1310">
          <w:rPr>
            <w:rFonts w:cs="David"/>
            <w:sz w:val="24"/>
            <w:szCs w:val="24"/>
          </w:rPr>
          <w:fldChar w:fldCharType="end"/>
        </w:r>
      </w:p>
    </w:sdtContent>
  </w:sdt>
  <w:p w14:paraId="1639C31D" w14:textId="77777777" w:rsidR="00956480" w:rsidRDefault="009564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D3CAD" w14:textId="77777777" w:rsidR="00DC0231" w:rsidRDefault="00DC0231" w:rsidP="001A2B54">
      <w:pPr>
        <w:spacing w:after="0" w:line="240" w:lineRule="auto"/>
      </w:pPr>
      <w:r>
        <w:separator/>
      </w:r>
    </w:p>
  </w:footnote>
  <w:footnote w:type="continuationSeparator" w:id="0">
    <w:p w14:paraId="452F508B" w14:textId="77777777" w:rsidR="00DC0231" w:rsidRDefault="00DC0231" w:rsidP="001A2B54">
      <w:pPr>
        <w:spacing w:after="0" w:line="240" w:lineRule="auto"/>
      </w:pPr>
      <w:r>
        <w:continuationSeparator/>
      </w:r>
    </w:p>
  </w:footnote>
  <w:footnote w:id="1">
    <w:p w14:paraId="03A2C9C1" w14:textId="77777777" w:rsidR="006871BE" w:rsidRDefault="006871BE" w:rsidP="006871BE">
      <w:pPr>
        <w:pStyle w:val="FootnoteText"/>
        <w:rPr>
          <w:rtl/>
        </w:rPr>
      </w:pPr>
      <w:r>
        <w:rPr>
          <w:rStyle w:val="FootnoteReference"/>
        </w:rPr>
        <w:footnoteRef/>
      </w:r>
      <w:r>
        <w:rPr>
          <w:rtl/>
        </w:rPr>
        <w:t xml:space="preserve"> </w:t>
      </w:r>
      <w:r w:rsidRPr="0057431E">
        <w:rPr>
          <w:rFonts w:hint="cs"/>
          <w:b/>
          <w:bCs/>
          <w:rtl/>
        </w:rPr>
        <w:t>"</w:t>
      </w:r>
      <w:r w:rsidRPr="0057431E">
        <w:rPr>
          <w:b/>
          <w:bCs/>
          <w:rtl/>
        </w:rPr>
        <w:t>כוח שוק ויתרונות לגודל בשוק מוצרי מזון וצריכה שוטפת</w:t>
      </w:r>
      <w:r w:rsidRPr="0057431E">
        <w:rPr>
          <w:rFonts w:hint="cs"/>
          <w:b/>
          <w:bCs/>
          <w:rtl/>
        </w:rPr>
        <w:t>"</w:t>
      </w:r>
      <w:r>
        <w:rPr>
          <w:rFonts w:hint="cs"/>
          <w:rtl/>
        </w:rPr>
        <w:t xml:space="preserve">, מרכז המחקר והמידע של הכנסת, נתן שבע, 1 במאי 2023.  </w:t>
      </w:r>
      <w:hyperlink r:id="rId1" w:history="1">
        <w:r w:rsidRPr="00417E88">
          <w:rPr>
            <w:rStyle w:val="Hyperlink"/>
          </w:rPr>
          <w:t>https://fs.knesset.gov.il/globaldocs/MMM/b880eefe-31ad-ed11-8152-005056aac6c3/2_b880eefe-31ad-ed11-8152-005056aac6c3_11_20069.pdf</w:t>
        </w:r>
      </w:hyperlink>
      <w:r>
        <w:rPr>
          <w:rFonts w:hint="cs"/>
          <w:rtl/>
        </w:rPr>
        <w:t>.</w:t>
      </w:r>
    </w:p>
  </w:footnote>
  <w:footnote w:id="2">
    <w:p w14:paraId="17229289" w14:textId="77777777" w:rsidR="006871BE" w:rsidRPr="00773149" w:rsidRDefault="006871BE" w:rsidP="006871BE">
      <w:pPr>
        <w:pStyle w:val="FootnoteText"/>
        <w:rPr>
          <w:rtl/>
        </w:rPr>
      </w:pPr>
      <w:r w:rsidRPr="00773149">
        <w:rPr>
          <w:rStyle w:val="FootnoteReference"/>
        </w:rPr>
        <w:footnoteRef/>
      </w:r>
      <w:r w:rsidRPr="00773149">
        <w:rPr>
          <w:rtl/>
        </w:rPr>
        <w:t xml:space="preserve"> </w:t>
      </w:r>
      <w:r w:rsidRPr="00773149">
        <w:rPr>
          <w:rtl/>
        </w:rPr>
        <w:t>סטורנקסט, מצגת סיכום שנה 2021</w:t>
      </w:r>
      <w:r>
        <w:rPr>
          <w:rFonts w:hint="cs"/>
          <w:rtl/>
        </w:rPr>
        <w:t>,</w:t>
      </w:r>
      <w:r w:rsidRPr="00773149">
        <w:rPr>
          <w:rtl/>
        </w:rPr>
        <w:t xml:space="preserve"> ינואר 2022 סיכום שנת</w:t>
      </w:r>
      <w:r>
        <w:rPr>
          <w:rFonts w:hint="cs"/>
          <w:rtl/>
        </w:rPr>
        <w:t xml:space="preserve"> </w:t>
      </w:r>
      <w:r w:rsidRPr="00773149">
        <w:rPr>
          <w:rtl/>
        </w:rPr>
        <w:t>2022</w:t>
      </w:r>
      <w:r>
        <w:rPr>
          <w:rFonts w:hint="cs"/>
          <w:rtl/>
        </w:rPr>
        <w:t>,</w:t>
      </w:r>
      <w:r w:rsidRPr="00773149">
        <w:rPr>
          <w:rtl/>
        </w:rPr>
        <w:t xml:space="preserve"> ינואר 2023</w:t>
      </w:r>
      <w:r>
        <w:rPr>
          <w:rFonts w:hint="cs"/>
          <w:rtl/>
        </w:rPr>
        <w:t>.</w:t>
      </w:r>
    </w:p>
  </w:footnote>
  <w:footnote w:id="3">
    <w:p w14:paraId="0B19C447" w14:textId="77777777" w:rsidR="006143F2" w:rsidRPr="00432C2B" w:rsidRDefault="006143F2" w:rsidP="006143F2">
      <w:pPr>
        <w:pStyle w:val="FootnoteText"/>
        <w:jc w:val="both"/>
        <w:rPr>
          <w:rFonts w:ascii="Alef" w:hAnsi="Alef"/>
          <w:sz w:val="18"/>
          <w:szCs w:val="18"/>
          <w:highlight w:val="yellow"/>
          <w:rtl/>
        </w:rPr>
      </w:pPr>
      <w:r w:rsidRPr="00D113B7">
        <w:rPr>
          <w:rStyle w:val="FootnoteReference"/>
          <w:rFonts w:ascii="Alef" w:hAnsi="Alef"/>
          <w:sz w:val="18"/>
          <w:szCs w:val="18"/>
        </w:rPr>
        <w:footnoteRef/>
      </w:r>
      <w:r w:rsidRPr="00D113B7">
        <w:rPr>
          <w:rFonts w:ascii="Alef" w:hAnsi="Alef"/>
          <w:sz w:val="18"/>
          <w:szCs w:val="18"/>
          <w:rtl/>
        </w:rPr>
        <w:t xml:space="preserve"> מדד </w:t>
      </w:r>
      <w:r w:rsidRPr="00D113B7">
        <w:rPr>
          <w:rFonts w:ascii="Alef" w:hAnsi="Alef"/>
          <w:sz w:val="18"/>
          <w:szCs w:val="18"/>
          <w:rtl/>
        </w:rPr>
        <w:t xml:space="preserve">הרפינדל-הירשמן (באנגלית: </w:t>
      </w:r>
      <w:r w:rsidRPr="00D113B7">
        <w:rPr>
          <w:rFonts w:ascii="Alef" w:hAnsi="Alef"/>
          <w:sz w:val="18"/>
          <w:szCs w:val="18"/>
        </w:rPr>
        <w:t>Herfindahl-Hirschman Index</w:t>
      </w:r>
      <w:r w:rsidRPr="00D113B7">
        <w:rPr>
          <w:rFonts w:ascii="Alef" w:hAnsi="Alef"/>
          <w:sz w:val="18"/>
          <w:szCs w:val="18"/>
          <w:rtl/>
        </w:rPr>
        <w:t xml:space="preserve"> או </w:t>
      </w:r>
      <w:r w:rsidRPr="00D113B7">
        <w:rPr>
          <w:rFonts w:ascii="Alef" w:hAnsi="Alef"/>
          <w:sz w:val="18"/>
          <w:szCs w:val="18"/>
        </w:rPr>
        <w:t>HHI</w:t>
      </w:r>
      <w:r w:rsidRPr="00D113B7">
        <w:rPr>
          <w:rFonts w:ascii="Alef" w:hAnsi="Alef"/>
          <w:sz w:val="18"/>
          <w:szCs w:val="18"/>
          <w:rtl/>
        </w:rPr>
        <w:t xml:space="preserve">) הוא מדד לריכוזיות בענפים במשק, המהווה אינדיקטור מקובל לרמת התחרותיות בהם. המדד מוגדר כסכום ריבועי נתחי השוק של כלל החברות בענף מסוים, בהתאם לנוסחה </w:t>
      </w:r>
      <m:oMath>
        <m:nary>
          <m:naryPr>
            <m:chr m:val="∑"/>
            <m:grow m:val="1"/>
            <m:ctrlPr>
              <w:rPr>
                <w:rFonts w:ascii="Cambria Math" w:hAnsi="Cambria Math"/>
                <w:sz w:val="18"/>
                <w:szCs w:val="18"/>
              </w:rPr>
            </m:ctrlPr>
          </m:naryPr>
          <m:sub>
            <m:r>
              <w:rPr>
                <w:rFonts w:ascii="Cambria Math" w:hAnsi="Cambria Math"/>
                <w:sz w:val="18"/>
                <w:szCs w:val="18"/>
              </w:rPr>
              <m:t>i=1</m:t>
            </m:r>
          </m:sub>
          <m:sup>
            <m:r>
              <w:rPr>
                <w:rFonts w:ascii="Cambria Math" w:hAnsi="Cambria Math"/>
                <w:sz w:val="18"/>
                <w:szCs w:val="18"/>
              </w:rPr>
              <m:t>k</m:t>
            </m:r>
          </m:sup>
          <m:e>
            <m:sSup>
              <m:sSupPr>
                <m:ctrlPr>
                  <w:rPr>
                    <w:rFonts w:ascii="Cambria Math" w:hAnsi="Cambria Math"/>
                    <w:i/>
                    <w:iCs/>
                    <w:sz w:val="18"/>
                    <w:szCs w:val="18"/>
                  </w:rPr>
                </m:ctrlPr>
              </m:sSupPr>
              <m:e>
                <m:r>
                  <w:rPr>
                    <w:rFonts w:ascii="Cambria Math" w:hAnsi="Cambria Math"/>
                    <w:sz w:val="18"/>
                    <w:szCs w:val="18"/>
                  </w:rPr>
                  <m:t>(m</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i</m:t>
                    </m:r>
                  </m:sub>
                </m:sSub>
                <m:r>
                  <w:rPr>
                    <w:rFonts w:ascii="Cambria Math" w:hAnsi="Cambria Math"/>
                    <w:sz w:val="18"/>
                    <w:szCs w:val="18"/>
                  </w:rPr>
                  <m:t>)</m:t>
                </m:r>
              </m:e>
              <m:sup>
                <m:r>
                  <w:rPr>
                    <w:rFonts w:ascii="Cambria Math" w:hAnsi="Cambria Math"/>
                    <w:sz w:val="18"/>
                    <w:szCs w:val="18"/>
                  </w:rPr>
                  <m:t>2</m:t>
                </m:r>
              </m:sup>
            </m:sSup>
          </m:e>
        </m:nary>
      </m:oMath>
      <w:r w:rsidRPr="00D113B7">
        <w:rPr>
          <w:rFonts w:ascii="Alef" w:hAnsi="Alef"/>
          <w:sz w:val="18"/>
          <w:szCs w:val="18"/>
          <w:rtl/>
        </w:rPr>
        <w:t xml:space="preserve">, כאשר </w:t>
      </w:r>
      <m:oMath>
        <m:r>
          <w:rPr>
            <w:rFonts w:ascii="Cambria Math" w:hAnsi="Cambria Math"/>
            <w:sz w:val="18"/>
            <w:szCs w:val="18"/>
          </w:rPr>
          <m:t>m</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i</m:t>
            </m:r>
          </m:sub>
        </m:sSub>
      </m:oMath>
      <w:r w:rsidRPr="00D113B7">
        <w:rPr>
          <w:rFonts w:ascii="Alef" w:hAnsi="Alef"/>
          <w:sz w:val="18"/>
          <w:szCs w:val="18"/>
          <w:rtl/>
        </w:rPr>
        <w:t xml:space="preserve"> הוא נתח השוק של פירמה </w:t>
      </w:r>
      <m:oMath>
        <m:r>
          <w:rPr>
            <w:rFonts w:ascii="Cambria Math" w:hAnsi="Cambria Math"/>
            <w:sz w:val="18"/>
            <w:szCs w:val="18"/>
          </w:rPr>
          <m:t>i</m:t>
        </m:r>
      </m:oMath>
      <w:r w:rsidRPr="00D113B7">
        <w:rPr>
          <w:rFonts w:ascii="Alef" w:hAnsi="Alef"/>
          <w:sz w:val="18"/>
          <w:szCs w:val="18"/>
          <w:rtl/>
        </w:rPr>
        <w:t xml:space="preserve"> בשוק בו פעולות  </w:t>
      </w:r>
      <m:oMath>
        <m:r>
          <w:rPr>
            <w:rFonts w:ascii="Cambria Math" w:hAnsi="Cambria Math"/>
            <w:sz w:val="18"/>
            <w:szCs w:val="18"/>
          </w:rPr>
          <m:t>k</m:t>
        </m:r>
      </m:oMath>
      <w:r w:rsidRPr="00D113B7">
        <w:rPr>
          <w:rFonts w:ascii="Alef" w:hAnsi="Alef"/>
          <w:sz w:val="18"/>
          <w:szCs w:val="18"/>
          <w:rtl/>
        </w:rPr>
        <w:t xml:space="preserve"> פירמות. במצב של מונופול מושלם, כאשר בענף פועלת פירמה בודדת, מדד </w:t>
      </w:r>
      <w:r w:rsidRPr="00D113B7">
        <w:rPr>
          <w:rFonts w:ascii="Alef" w:hAnsi="Alef"/>
          <w:sz w:val="18"/>
          <w:szCs w:val="18"/>
        </w:rPr>
        <w:t>HHI</w:t>
      </w:r>
      <w:r>
        <w:rPr>
          <w:rFonts w:ascii="Alef" w:hAnsi="Alef" w:hint="cs"/>
          <w:sz w:val="18"/>
          <w:szCs w:val="18"/>
          <w:rtl/>
        </w:rPr>
        <w:t xml:space="preserve"> יהיה</w:t>
      </w:r>
      <w:r w:rsidRPr="00D113B7">
        <w:rPr>
          <w:rFonts w:ascii="Alef" w:hAnsi="Alef"/>
          <w:sz w:val="18"/>
          <w:szCs w:val="18"/>
          <w:rtl/>
        </w:rPr>
        <w:t xml:space="preserve"> שווה ל-1. במקרה של סימטריה בנתחי הפירמות המדד שווה ל - </w:t>
      </w:r>
      <m:oMath>
        <m:r>
          <w:rPr>
            <w:rFonts w:ascii="Cambria Math" w:hAnsi="Cambria Math"/>
            <w:sz w:val="18"/>
            <w:szCs w:val="18"/>
          </w:rPr>
          <m:t>1/k</m:t>
        </m:r>
      </m:oMath>
      <w:r w:rsidRPr="00D113B7">
        <w:rPr>
          <w:rFonts w:ascii="Alef" w:hAnsi="Alef"/>
          <w:sz w:val="18"/>
          <w:szCs w:val="18"/>
          <w:rtl/>
        </w:rPr>
        <w:t xml:space="preserve"> ובתחרות משוכללת המדד שואף ל 0. לפיכך, מדד </w:t>
      </w:r>
      <w:r w:rsidRPr="00D113B7">
        <w:rPr>
          <w:rFonts w:ascii="Alef" w:hAnsi="Alef"/>
          <w:sz w:val="18"/>
          <w:szCs w:val="18"/>
        </w:rPr>
        <w:t>HHI</w:t>
      </w:r>
      <w:r w:rsidRPr="00D113B7">
        <w:rPr>
          <w:rFonts w:ascii="Alef" w:hAnsi="Alef"/>
          <w:sz w:val="18"/>
          <w:szCs w:val="18"/>
          <w:rtl/>
        </w:rPr>
        <w:t xml:space="preserve"> נע בין 0 ל-1. את המספר המתקבל נהוג להכפיל ב-10,000 לשם נוחות.</w:t>
      </w:r>
    </w:p>
  </w:footnote>
  <w:footnote w:id="4">
    <w:p w14:paraId="768BA078" w14:textId="77777777" w:rsidR="006143F2" w:rsidRPr="004941F8" w:rsidRDefault="006143F2" w:rsidP="006143F2">
      <w:pPr>
        <w:pStyle w:val="FootnoteText"/>
        <w:jc w:val="both"/>
        <w:rPr>
          <w:rFonts w:ascii="Alef" w:hAnsi="Alef"/>
          <w:sz w:val="18"/>
          <w:szCs w:val="18"/>
          <w:rtl/>
        </w:rPr>
      </w:pPr>
      <w:r w:rsidRPr="0067511E">
        <w:rPr>
          <w:rStyle w:val="FootnoteReference"/>
          <w:rFonts w:ascii="Alef" w:hAnsi="Alef"/>
          <w:sz w:val="18"/>
          <w:szCs w:val="18"/>
        </w:rPr>
        <w:footnoteRef/>
      </w:r>
      <w:r w:rsidRPr="0067511E">
        <w:rPr>
          <w:rFonts w:ascii="Alef" w:hAnsi="Alef"/>
          <w:sz w:val="18"/>
          <w:szCs w:val="18"/>
          <w:rtl/>
        </w:rPr>
        <w:t xml:space="preserve"> קטגוריות הצבועות באדום הן בעלות מדד </w:t>
      </w:r>
      <w:r w:rsidRPr="0067511E">
        <w:rPr>
          <w:rFonts w:ascii="Alef" w:hAnsi="Alef"/>
          <w:sz w:val="18"/>
          <w:szCs w:val="18"/>
        </w:rPr>
        <w:t>HHI</w:t>
      </w:r>
      <w:r w:rsidRPr="0067511E">
        <w:rPr>
          <w:rFonts w:ascii="Alef" w:hAnsi="Alef"/>
          <w:sz w:val="18"/>
          <w:szCs w:val="18"/>
          <w:rtl/>
        </w:rPr>
        <w:t xml:space="preserve"> המעיד על רמת ריכוזיות גבוהה (מעל 2,500 נקודות). קטגוריות הצבועות בצהוב הן בעלות מדד </w:t>
      </w:r>
      <w:r w:rsidRPr="0067511E">
        <w:rPr>
          <w:rFonts w:ascii="Alef" w:hAnsi="Alef"/>
          <w:sz w:val="18"/>
          <w:szCs w:val="18"/>
        </w:rPr>
        <w:t>HHI</w:t>
      </w:r>
      <w:r w:rsidRPr="0067511E">
        <w:rPr>
          <w:rFonts w:ascii="Alef" w:hAnsi="Alef"/>
          <w:sz w:val="18"/>
          <w:szCs w:val="18"/>
          <w:rtl/>
        </w:rPr>
        <w:t xml:space="preserve"> המעיד על רמת ריכוזיות בינונית, </w:t>
      </w:r>
      <w:r>
        <w:rPr>
          <w:rFonts w:ascii="Alef" w:hAnsi="Alef" w:hint="cs"/>
          <w:sz w:val="18"/>
          <w:szCs w:val="18"/>
          <w:rtl/>
        </w:rPr>
        <w:t>בין</w:t>
      </w:r>
      <w:r w:rsidRPr="0067511E">
        <w:rPr>
          <w:rFonts w:ascii="Alef" w:hAnsi="Alef"/>
          <w:sz w:val="18"/>
          <w:szCs w:val="18"/>
          <w:rtl/>
        </w:rPr>
        <w:t xml:space="preserve"> 1,500 </w:t>
      </w:r>
      <w:r>
        <w:rPr>
          <w:rFonts w:ascii="Alef" w:hAnsi="Alef" w:hint="cs"/>
          <w:sz w:val="18"/>
          <w:szCs w:val="18"/>
          <w:rtl/>
        </w:rPr>
        <w:t xml:space="preserve">ל- 2,500 </w:t>
      </w:r>
      <w:r w:rsidRPr="0067511E">
        <w:rPr>
          <w:rFonts w:ascii="Alef" w:hAnsi="Alef"/>
          <w:sz w:val="18"/>
          <w:szCs w:val="18"/>
          <w:rtl/>
        </w:rPr>
        <w:t>נקודות, והקטגוריות הצבועות בירוק מציגות קטגורי</w:t>
      </w:r>
      <w:r>
        <w:rPr>
          <w:rFonts w:ascii="Alef" w:hAnsi="Alef" w:hint="cs"/>
          <w:sz w:val="18"/>
          <w:szCs w:val="18"/>
          <w:rtl/>
        </w:rPr>
        <w:t>ות שאינן נחשבות</w:t>
      </w:r>
      <w:r w:rsidRPr="0067511E">
        <w:rPr>
          <w:rFonts w:ascii="Alef" w:hAnsi="Alef"/>
          <w:sz w:val="18"/>
          <w:szCs w:val="18"/>
          <w:rtl/>
        </w:rPr>
        <w:t xml:space="preserve"> ריכוזית.</w:t>
      </w:r>
    </w:p>
    <w:p w14:paraId="65982323" w14:textId="77777777" w:rsidR="006143F2" w:rsidRPr="004941F8" w:rsidRDefault="006143F2" w:rsidP="006143F2">
      <w:pPr>
        <w:pStyle w:val="FootnoteText"/>
        <w:rPr>
          <w:rFonts w:ascii="Alef" w:hAnsi="Alef"/>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97A"/>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750FA"/>
    <w:multiLevelType w:val="hybridMultilevel"/>
    <w:tmpl w:val="D75C7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514D2"/>
    <w:multiLevelType w:val="hybridMultilevel"/>
    <w:tmpl w:val="7FD2F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A1CFD"/>
    <w:multiLevelType w:val="hybridMultilevel"/>
    <w:tmpl w:val="579A22D2"/>
    <w:lvl w:ilvl="0" w:tplc="4D761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 w15:restartNumberingAfterBreak="0">
    <w:nsid w:val="0C1C3311"/>
    <w:multiLevelType w:val="hybridMultilevel"/>
    <w:tmpl w:val="5044AA18"/>
    <w:lvl w:ilvl="0" w:tplc="580AFDC6">
      <w:start w:val="7"/>
      <w:numFmt w:val="bullet"/>
      <w:lvlText w:val=""/>
      <w:lvlJc w:val="left"/>
      <w:pPr>
        <w:ind w:left="1080" w:hanging="360"/>
      </w:pPr>
      <w:rPr>
        <w:rFonts w:ascii="Symbol" w:eastAsiaTheme="minorHAnsi"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5D31F7"/>
    <w:multiLevelType w:val="hybridMultilevel"/>
    <w:tmpl w:val="931E7CF2"/>
    <w:lvl w:ilvl="0" w:tplc="23AE44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25E5A"/>
    <w:multiLevelType w:val="hybridMultilevel"/>
    <w:tmpl w:val="4E0EC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9" w15:restartNumberingAfterBreak="0">
    <w:nsid w:val="28A7464D"/>
    <w:multiLevelType w:val="hybridMultilevel"/>
    <w:tmpl w:val="602E3D58"/>
    <w:lvl w:ilvl="0" w:tplc="D06A012C">
      <w:start w:val="1"/>
      <w:numFmt w:val="decimal"/>
      <w:lvlText w:val="(%1)"/>
      <w:lvlJc w:val="left"/>
      <w:pPr>
        <w:ind w:left="121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61FDD"/>
    <w:multiLevelType w:val="hybridMultilevel"/>
    <w:tmpl w:val="35CC40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460074"/>
    <w:multiLevelType w:val="hybridMultilevel"/>
    <w:tmpl w:val="3DF67DDE"/>
    <w:lvl w:ilvl="0" w:tplc="CAE0880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3"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4" w15:restartNumberingAfterBreak="0">
    <w:nsid w:val="34CF1920"/>
    <w:multiLevelType w:val="hybridMultilevel"/>
    <w:tmpl w:val="ECA04FC0"/>
    <w:lvl w:ilvl="0" w:tplc="541C430E">
      <w:start w:val="17"/>
      <w:numFmt w:val="bullet"/>
      <w:lvlText w:val="-"/>
      <w:lvlJc w:val="left"/>
      <w:pPr>
        <w:ind w:left="720" w:hanging="360"/>
      </w:pPr>
      <w:rPr>
        <w:rFonts w:ascii="Alef" w:eastAsiaTheme="minorHAnsi" w:hAnsi="Alef" w:cs="Ale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D774E"/>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EF38EB"/>
    <w:multiLevelType w:val="hybridMultilevel"/>
    <w:tmpl w:val="C3005D28"/>
    <w:lvl w:ilvl="0" w:tplc="73B8B36C">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37B4"/>
    <w:multiLevelType w:val="hybridMultilevel"/>
    <w:tmpl w:val="FA4A962A"/>
    <w:lvl w:ilvl="0" w:tplc="32B835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63119"/>
    <w:multiLevelType w:val="hybridMultilevel"/>
    <w:tmpl w:val="561E24C4"/>
    <w:lvl w:ilvl="0" w:tplc="FDDA5B50">
      <w:start w:val="1"/>
      <w:numFmt w:val="decimal"/>
      <w:lvlText w:val="%1."/>
      <w:lvlJc w:val="left"/>
      <w:pPr>
        <w:ind w:left="360" w:hanging="360"/>
      </w:pPr>
      <w:rPr>
        <w:rFonts w:hint="default"/>
        <w:sz w:val="24"/>
      </w:rPr>
    </w:lvl>
    <w:lvl w:ilvl="1" w:tplc="53AA297C">
      <w:start w:val="1"/>
      <w:numFmt w:val="hebrew1"/>
      <w:lvlText w:val="(%2)"/>
      <w:lvlJc w:val="left"/>
      <w:pPr>
        <w:ind w:left="786" w:hanging="360"/>
      </w:pPr>
      <w:rPr>
        <w:rFonts w:ascii="Times New Roman" w:eastAsia="Times New Roman" w:hAnsi="Times New Roman" w:cs="David"/>
        <w:lang w:bidi="he-I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4A7EAC"/>
    <w:multiLevelType w:val="hybridMultilevel"/>
    <w:tmpl w:val="43F47BB0"/>
    <w:lvl w:ilvl="0" w:tplc="7FEE75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8A1C3E"/>
    <w:multiLevelType w:val="hybridMultilevel"/>
    <w:tmpl w:val="5A0264E8"/>
    <w:lvl w:ilvl="0" w:tplc="358A808E">
      <w:start w:val="1"/>
      <w:numFmt w:val="hebrew1"/>
      <w:lvlText w:val="%1."/>
      <w:lvlJc w:val="left"/>
      <w:pPr>
        <w:ind w:left="644" w:hanging="360"/>
      </w:pPr>
      <w:rPr>
        <w:rFonts w:cs="David"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0B7794E"/>
    <w:multiLevelType w:val="multilevel"/>
    <w:tmpl w:val="742670D0"/>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AA5CC4"/>
    <w:multiLevelType w:val="hybridMultilevel"/>
    <w:tmpl w:val="4ECA0746"/>
    <w:lvl w:ilvl="0" w:tplc="C12C6B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F253F"/>
    <w:multiLevelType w:val="hybridMultilevel"/>
    <w:tmpl w:val="BA96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8256E"/>
    <w:multiLevelType w:val="hybridMultilevel"/>
    <w:tmpl w:val="7ED0629A"/>
    <w:lvl w:ilvl="0" w:tplc="402C5B52">
      <w:start w:val="1"/>
      <w:numFmt w:val="hebrew1"/>
      <w:lvlText w:val="%1."/>
      <w:lvlJc w:val="left"/>
      <w:pPr>
        <w:ind w:left="644" w:hanging="360"/>
      </w:pPr>
      <w:rPr>
        <w:rFonts w:hint="default"/>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624979"/>
    <w:multiLevelType w:val="hybridMultilevel"/>
    <w:tmpl w:val="B7D02170"/>
    <w:lvl w:ilvl="0" w:tplc="202829A0">
      <w:start w:val="1"/>
      <w:numFmt w:val="decimal"/>
      <w:lvlText w:val="%1."/>
      <w:lvlJc w:val="left"/>
      <w:pPr>
        <w:ind w:left="720" w:hanging="360"/>
      </w:pPr>
      <w:rPr>
        <w:rFonts w:hint="default"/>
        <w:b/>
        <w:bCs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171B5"/>
    <w:multiLevelType w:val="hybridMultilevel"/>
    <w:tmpl w:val="759A1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064EE"/>
    <w:multiLevelType w:val="hybridMultilevel"/>
    <w:tmpl w:val="7F50B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71B5C"/>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1F230F"/>
    <w:multiLevelType w:val="hybridMultilevel"/>
    <w:tmpl w:val="C3809876"/>
    <w:lvl w:ilvl="0" w:tplc="53AA297C">
      <w:start w:val="1"/>
      <w:numFmt w:val="hebrew1"/>
      <w:lvlText w:val="(%1)"/>
      <w:lvlJc w:val="left"/>
      <w:pPr>
        <w:ind w:left="972" w:hanging="405"/>
      </w:pPr>
      <w:rPr>
        <w:rFonts w:ascii="Times New Roman" w:eastAsia="Times New Roman" w:hAnsi="Times New Roman" w:cs="David"/>
        <w:lang w:bidi="he-I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B2F5A9D"/>
    <w:multiLevelType w:val="hybridMultilevel"/>
    <w:tmpl w:val="15EA362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642375"/>
    <w:multiLevelType w:val="hybridMultilevel"/>
    <w:tmpl w:val="8C2258CE"/>
    <w:lvl w:ilvl="0" w:tplc="80523A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C2748"/>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F37F28"/>
    <w:multiLevelType w:val="hybridMultilevel"/>
    <w:tmpl w:val="10FE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690804"/>
    <w:multiLevelType w:val="hybridMultilevel"/>
    <w:tmpl w:val="BB4E4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835A3"/>
    <w:multiLevelType w:val="hybridMultilevel"/>
    <w:tmpl w:val="1F184B2E"/>
    <w:lvl w:ilvl="0" w:tplc="B2002148">
      <w:start w:val="31"/>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15"/>
  </w:num>
  <w:num w:numId="4">
    <w:abstractNumId w:val="7"/>
  </w:num>
  <w:num w:numId="5">
    <w:abstractNumId w:val="26"/>
  </w:num>
  <w:num w:numId="6">
    <w:abstractNumId w:val="28"/>
  </w:num>
  <w:num w:numId="7">
    <w:abstractNumId w:val="27"/>
  </w:num>
  <w:num w:numId="8">
    <w:abstractNumId w:val="1"/>
  </w:num>
  <w:num w:numId="9">
    <w:abstractNumId w:val="22"/>
  </w:num>
  <w:num w:numId="10">
    <w:abstractNumId w:val="23"/>
  </w:num>
  <w:num w:numId="11">
    <w:abstractNumId w:val="31"/>
  </w:num>
  <w:num w:numId="12">
    <w:abstractNumId w:val="12"/>
  </w:num>
  <w:num w:numId="13">
    <w:abstractNumId w:val="13"/>
  </w:num>
  <w:num w:numId="14">
    <w:abstractNumId w:val="3"/>
  </w:num>
  <w:num w:numId="15">
    <w:abstractNumId w:val="6"/>
  </w:num>
  <w:num w:numId="16">
    <w:abstractNumId w:val="24"/>
  </w:num>
  <w:num w:numId="17">
    <w:abstractNumId w:val="29"/>
  </w:num>
  <w:num w:numId="18">
    <w:abstractNumId w:val="20"/>
  </w:num>
  <w:num w:numId="19">
    <w:abstractNumId w:val="4"/>
  </w:num>
  <w:num w:numId="20">
    <w:abstractNumId w:val="8"/>
  </w:num>
  <w:num w:numId="21">
    <w:abstractNumId w:val="30"/>
  </w:num>
  <w:num w:numId="22">
    <w:abstractNumId w:val="18"/>
  </w:num>
  <w:num w:numId="23">
    <w:abstractNumId w:val="11"/>
  </w:num>
  <w:num w:numId="24">
    <w:abstractNumId w:val="9"/>
  </w:num>
  <w:num w:numId="25">
    <w:abstractNumId w:val="33"/>
  </w:num>
  <w:num w:numId="26">
    <w:abstractNumId w:val="16"/>
  </w:num>
  <w:num w:numId="27">
    <w:abstractNumId w:val="10"/>
  </w:num>
  <w:num w:numId="28">
    <w:abstractNumId w:val="17"/>
  </w:num>
  <w:num w:numId="29">
    <w:abstractNumId w:val="19"/>
  </w:num>
  <w:num w:numId="30">
    <w:abstractNumId w:val="2"/>
  </w:num>
  <w:num w:numId="31">
    <w:abstractNumId w:val="34"/>
  </w:num>
  <w:num w:numId="32">
    <w:abstractNumId w:val="25"/>
  </w:num>
  <w:num w:numId="33">
    <w:abstractNumId w:val="5"/>
  </w:num>
  <w:num w:numId="34">
    <w:abstractNumId w:val="32"/>
  </w:num>
  <w:num w:numId="35">
    <w:abstractNumId w:val="0"/>
  </w:num>
  <w:num w:numId="36">
    <w:abstractNumId w:val="14"/>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A57"/>
    <w:rsid w:val="0000180E"/>
    <w:rsid w:val="0000413F"/>
    <w:rsid w:val="000129C6"/>
    <w:rsid w:val="00014E64"/>
    <w:rsid w:val="00021C61"/>
    <w:rsid w:val="000223F8"/>
    <w:rsid w:val="00026985"/>
    <w:rsid w:val="000304C0"/>
    <w:rsid w:val="000305C4"/>
    <w:rsid w:val="00043A48"/>
    <w:rsid w:val="000441F5"/>
    <w:rsid w:val="000467B1"/>
    <w:rsid w:val="00052A37"/>
    <w:rsid w:val="00052B72"/>
    <w:rsid w:val="00056C8E"/>
    <w:rsid w:val="00065CE1"/>
    <w:rsid w:val="000709CA"/>
    <w:rsid w:val="00071B01"/>
    <w:rsid w:val="000732A5"/>
    <w:rsid w:val="0007587D"/>
    <w:rsid w:val="00082E6D"/>
    <w:rsid w:val="000845A6"/>
    <w:rsid w:val="0009155F"/>
    <w:rsid w:val="00091AA6"/>
    <w:rsid w:val="000937D8"/>
    <w:rsid w:val="000A3601"/>
    <w:rsid w:val="000A5E87"/>
    <w:rsid w:val="000B306E"/>
    <w:rsid w:val="000B6EEB"/>
    <w:rsid w:val="000C060A"/>
    <w:rsid w:val="000C1436"/>
    <w:rsid w:val="000C6793"/>
    <w:rsid w:val="000D5CAB"/>
    <w:rsid w:val="000E270D"/>
    <w:rsid w:val="000E3DD3"/>
    <w:rsid w:val="000F437E"/>
    <w:rsid w:val="000F5C65"/>
    <w:rsid w:val="00107935"/>
    <w:rsid w:val="00114077"/>
    <w:rsid w:val="001142AB"/>
    <w:rsid w:val="00114E01"/>
    <w:rsid w:val="0011691A"/>
    <w:rsid w:val="00130438"/>
    <w:rsid w:val="0013063F"/>
    <w:rsid w:val="00132070"/>
    <w:rsid w:val="00137B4E"/>
    <w:rsid w:val="00142F23"/>
    <w:rsid w:val="00143A88"/>
    <w:rsid w:val="00150EDA"/>
    <w:rsid w:val="00154299"/>
    <w:rsid w:val="0016149B"/>
    <w:rsid w:val="00167190"/>
    <w:rsid w:val="00167748"/>
    <w:rsid w:val="00182CB4"/>
    <w:rsid w:val="0018651A"/>
    <w:rsid w:val="00190C23"/>
    <w:rsid w:val="00191BE8"/>
    <w:rsid w:val="001A2B54"/>
    <w:rsid w:val="001A40E4"/>
    <w:rsid w:val="001B1C60"/>
    <w:rsid w:val="001C105B"/>
    <w:rsid w:val="001C1B55"/>
    <w:rsid w:val="001C2A21"/>
    <w:rsid w:val="001C6C97"/>
    <w:rsid w:val="001C6D24"/>
    <w:rsid w:val="001D132B"/>
    <w:rsid w:val="001D3A71"/>
    <w:rsid w:val="001D74FE"/>
    <w:rsid w:val="001E46CF"/>
    <w:rsid w:val="001E7160"/>
    <w:rsid w:val="001F4831"/>
    <w:rsid w:val="001F6B73"/>
    <w:rsid w:val="00204C75"/>
    <w:rsid w:val="00205561"/>
    <w:rsid w:val="002075CA"/>
    <w:rsid w:val="00213D04"/>
    <w:rsid w:val="00216872"/>
    <w:rsid w:val="00220C93"/>
    <w:rsid w:val="00221548"/>
    <w:rsid w:val="00221581"/>
    <w:rsid w:val="002219A9"/>
    <w:rsid w:val="00232123"/>
    <w:rsid w:val="0024504B"/>
    <w:rsid w:val="0024571C"/>
    <w:rsid w:val="00246631"/>
    <w:rsid w:val="0026022C"/>
    <w:rsid w:val="00260816"/>
    <w:rsid w:val="00260B1B"/>
    <w:rsid w:val="00260B54"/>
    <w:rsid w:val="00261378"/>
    <w:rsid w:val="00270022"/>
    <w:rsid w:val="00270216"/>
    <w:rsid w:val="002766C7"/>
    <w:rsid w:val="0028076F"/>
    <w:rsid w:val="00280A06"/>
    <w:rsid w:val="00286E91"/>
    <w:rsid w:val="0029083E"/>
    <w:rsid w:val="0029407A"/>
    <w:rsid w:val="002951B0"/>
    <w:rsid w:val="00296F7B"/>
    <w:rsid w:val="002A5369"/>
    <w:rsid w:val="002B046F"/>
    <w:rsid w:val="002B11D0"/>
    <w:rsid w:val="002B4F03"/>
    <w:rsid w:val="002B4FE7"/>
    <w:rsid w:val="002B51C5"/>
    <w:rsid w:val="002B52C4"/>
    <w:rsid w:val="002C1A8F"/>
    <w:rsid w:val="002C2CDF"/>
    <w:rsid w:val="002C6671"/>
    <w:rsid w:val="002C6684"/>
    <w:rsid w:val="002D4C48"/>
    <w:rsid w:val="002D5208"/>
    <w:rsid w:val="002D5446"/>
    <w:rsid w:val="002D675B"/>
    <w:rsid w:val="002E2C6E"/>
    <w:rsid w:val="002E7DDB"/>
    <w:rsid w:val="002F1F8F"/>
    <w:rsid w:val="002F20AA"/>
    <w:rsid w:val="002F2C0A"/>
    <w:rsid w:val="002F44B4"/>
    <w:rsid w:val="003006EB"/>
    <w:rsid w:val="00302569"/>
    <w:rsid w:val="00305530"/>
    <w:rsid w:val="00310ABA"/>
    <w:rsid w:val="00313429"/>
    <w:rsid w:val="003301DC"/>
    <w:rsid w:val="00330202"/>
    <w:rsid w:val="00332197"/>
    <w:rsid w:val="00335081"/>
    <w:rsid w:val="003461DE"/>
    <w:rsid w:val="00346427"/>
    <w:rsid w:val="00347FB3"/>
    <w:rsid w:val="00356359"/>
    <w:rsid w:val="00360584"/>
    <w:rsid w:val="003646F1"/>
    <w:rsid w:val="00372ABB"/>
    <w:rsid w:val="00373936"/>
    <w:rsid w:val="003854D2"/>
    <w:rsid w:val="0038796C"/>
    <w:rsid w:val="0039368B"/>
    <w:rsid w:val="0039651B"/>
    <w:rsid w:val="003A218C"/>
    <w:rsid w:val="003A3A8F"/>
    <w:rsid w:val="003A6EEE"/>
    <w:rsid w:val="003B5968"/>
    <w:rsid w:val="003C023A"/>
    <w:rsid w:val="003D596A"/>
    <w:rsid w:val="003E1775"/>
    <w:rsid w:val="003E1B21"/>
    <w:rsid w:val="003F3817"/>
    <w:rsid w:val="003F58D8"/>
    <w:rsid w:val="003F680A"/>
    <w:rsid w:val="00402524"/>
    <w:rsid w:val="00402C21"/>
    <w:rsid w:val="004060F1"/>
    <w:rsid w:val="00426664"/>
    <w:rsid w:val="00433753"/>
    <w:rsid w:val="00445CB1"/>
    <w:rsid w:val="0045002A"/>
    <w:rsid w:val="00450B50"/>
    <w:rsid w:val="004558B0"/>
    <w:rsid w:val="00455D51"/>
    <w:rsid w:val="00456976"/>
    <w:rsid w:val="00461D2E"/>
    <w:rsid w:val="0047055F"/>
    <w:rsid w:val="0047126A"/>
    <w:rsid w:val="00471B17"/>
    <w:rsid w:val="00475226"/>
    <w:rsid w:val="00475327"/>
    <w:rsid w:val="004944A0"/>
    <w:rsid w:val="004947B8"/>
    <w:rsid w:val="004A61DF"/>
    <w:rsid w:val="004B05B1"/>
    <w:rsid w:val="004B7F6D"/>
    <w:rsid w:val="004C4C55"/>
    <w:rsid w:val="004C52AE"/>
    <w:rsid w:val="004C6EAA"/>
    <w:rsid w:val="004D32ED"/>
    <w:rsid w:val="004D493D"/>
    <w:rsid w:val="004D5223"/>
    <w:rsid w:val="004E56B0"/>
    <w:rsid w:val="004E7107"/>
    <w:rsid w:val="004F4336"/>
    <w:rsid w:val="00503905"/>
    <w:rsid w:val="00505206"/>
    <w:rsid w:val="00511502"/>
    <w:rsid w:val="0051167E"/>
    <w:rsid w:val="00512982"/>
    <w:rsid w:val="00512DE0"/>
    <w:rsid w:val="00531212"/>
    <w:rsid w:val="005321B0"/>
    <w:rsid w:val="00532DBD"/>
    <w:rsid w:val="00540745"/>
    <w:rsid w:val="00541282"/>
    <w:rsid w:val="00542611"/>
    <w:rsid w:val="00550955"/>
    <w:rsid w:val="00561F87"/>
    <w:rsid w:val="0056628D"/>
    <w:rsid w:val="00571DBB"/>
    <w:rsid w:val="005779B1"/>
    <w:rsid w:val="00581934"/>
    <w:rsid w:val="00586554"/>
    <w:rsid w:val="005873E0"/>
    <w:rsid w:val="00591ED3"/>
    <w:rsid w:val="005A0F90"/>
    <w:rsid w:val="005A2565"/>
    <w:rsid w:val="005B4B0E"/>
    <w:rsid w:val="005B6B94"/>
    <w:rsid w:val="005C33B4"/>
    <w:rsid w:val="005C7081"/>
    <w:rsid w:val="005D02D2"/>
    <w:rsid w:val="005D277B"/>
    <w:rsid w:val="005D3F69"/>
    <w:rsid w:val="005D4C40"/>
    <w:rsid w:val="005D66C5"/>
    <w:rsid w:val="005E137D"/>
    <w:rsid w:val="005E47FA"/>
    <w:rsid w:val="005F06F7"/>
    <w:rsid w:val="005F252E"/>
    <w:rsid w:val="005F48F8"/>
    <w:rsid w:val="005F64EF"/>
    <w:rsid w:val="005F6D45"/>
    <w:rsid w:val="00603857"/>
    <w:rsid w:val="006071EC"/>
    <w:rsid w:val="00611747"/>
    <w:rsid w:val="006143F2"/>
    <w:rsid w:val="00614472"/>
    <w:rsid w:val="006202AF"/>
    <w:rsid w:val="00621DD3"/>
    <w:rsid w:val="00622471"/>
    <w:rsid w:val="006224A2"/>
    <w:rsid w:val="0063139D"/>
    <w:rsid w:val="00636CFA"/>
    <w:rsid w:val="006439A8"/>
    <w:rsid w:val="006459FB"/>
    <w:rsid w:val="00647861"/>
    <w:rsid w:val="00647AE5"/>
    <w:rsid w:val="00654373"/>
    <w:rsid w:val="006570DA"/>
    <w:rsid w:val="006657E9"/>
    <w:rsid w:val="006726FA"/>
    <w:rsid w:val="006836B8"/>
    <w:rsid w:val="006871BE"/>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6F767A"/>
    <w:rsid w:val="00700878"/>
    <w:rsid w:val="00712C46"/>
    <w:rsid w:val="00713530"/>
    <w:rsid w:val="00713822"/>
    <w:rsid w:val="0071519D"/>
    <w:rsid w:val="00721DD6"/>
    <w:rsid w:val="00722670"/>
    <w:rsid w:val="007252C0"/>
    <w:rsid w:val="0072677E"/>
    <w:rsid w:val="00731094"/>
    <w:rsid w:val="00731386"/>
    <w:rsid w:val="00732CD6"/>
    <w:rsid w:val="00743387"/>
    <w:rsid w:val="00746A72"/>
    <w:rsid w:val="007522D8"/>
    <w:rsid w:val="00764989"/>
    <w:rsid w:val="00765735"/>
    <w:rsid w:val="0076779A"/>
    <w:rsid w:val="00771D80"/>
    <w:rsid w:val="007744B3"/>
    <w:rsid w:val="007744CB"/>
    <w:rsid w:val="00774EFA"/>
    <w:rsid w:val="0077614E"/>
    <w:rsid w:val="007801E6"/>
    <w:rsid w:val="00783452"/>
    <w:rsid w:val="00786C6B"/>
    <w:rsid w:val="007873F7"/>
    <w:rsid w:val="00791750"/>
    <w:rsid w:val="007927D5"/>
    <w:rsid w:val="007A4FCC"/>
    <w:rsid w:val="007A551F"/>
    <w:rsid w:val="007A7CF6"/>
    <w:rsid w:val="007B4805"/>
    <w:rsid w:val="007B69E1"/>
    <w:rsid w:val="007C0570"/>
    <w:rsid w:val="007C507E"/>
    <w:rsid w:val="007D0E2A"/>
    <w:rsid w:val="007D1BE0"/>
    <w:rsid w:val="007D6EBF"/>
    <w:rsid w:val="007E1414"/>
    <w:rsid w:val="007E74A9"/>
    <w:rsid w:val="007E79C3"/>
    <w:rsid w:val="007F09FA"/>
    <w:rsid w:val="007F0B3A"/>
    <w:rsid w:val="007F38C0"/>
    <w:rsid w:val="007F660A"/>
    <w:rsid w:val="007F6BB4"/>
    <w:rsid w:val="008020D7"/>
    <w:rsid w:val="00802F2C"/>
    <w:rsid w:val="00803B4E"/>
    <w:rsid w:val="00810FC2"/>
    <w:rsid w:val="00813883"/>
    <w:rsid w:val="00814DA3"/>
    <w:rsid w:val="008178EA"/>
    <w:rsid w:val="00831866"/>
    <w:rsid w:val="00831A64"/>
    <w:rsid w:val="00836BA9"/>
    <w:rsid w:val="008560D6"/>
    <w:rsid w:val="00860989"/>
    <w:rsid w:val="00865E0B"/>
    <w:rsid w:val="00870569"/>
    <w:rsid w:val="008726A4"/>
    <w:rsid w:val="00872F91"/>
    <w:rsid w:val="008745B5"/>
    <w:rsid w:val="008753D7"/>
    <w:rsid w:val="00880657"/>
    <w:rsid w:val="00880941"/>
    <w:rsid w:val="00886ACD"/>
    <w:rsid w:val="008915B9"/>
    <w:rsid w:val="00893B61"/>
    <w:rsid w:val="00896341"/>
    <w:rsid w:val="008C0528"/>
    <w:rsid w:val="008C0E3C"/>
    <w:rsid w:val="008C147B"/>
    <w:rsid w:val="008C5431"/>
    <w:rsid w:val="008C545F"/>
    <w:rsid w:val="008C5932"/>
    <w:rsid w:val="008D18BD"/>
    <w:rsid w:val="008D718B"/>
    <w:rsid w:val="008E1085"/>
    <w:rsid w:val="008E1482"/>
    <w:rsid w:val="008E5E0C"/>
    <w:rsid w:val="008E7898"/>
    <w:rsid w:val="008F0A68"/>
    <w:rsid w:val="008F0E1E"/>
    <w:rsid w:val="008F5867"/>
    <w:rsid w:val="008F6773"/>
    <w:rsid w:val="00902859"/>
    <w:rsid w:val="00904895"/>
    <w:rsid w:val="00904D63"/>
    <w:rsid w:val="00907018"/>
    <w:rsid w:val="00910529"/>
    <w:rsid w:val="0091318C"/>
    <w:rsid w:val="00920428"/>
    <w:rsid w:val="00925861"/>
    <w:rsid w:val="00926521"/>
    <w:rsid w:val="00935E10"/>
    <w:rsid w:val="00940DDB"/>
    <w:rsid w:val="009437CC"/>
    <w:rsid w:val="00945FF4"/>
    <w:rsid w:val="00955696"/>
    <w:rsid w:val="0095639F"/>
    <w:rsid w:val="00956480"/>
    <w:rsid w:val="00963C7D"/>
    <w:rsid w:val="00972B6E"/>
    <w:rsid w:val="00984A36"/>
    <w:rsid w:val="00997AAC"/>
    <w:rsid w:val="009A2163"/>
    <w:rsid w:val="009A4444"/>
    <w:rsid w:val="009A4950"/>
    <w:rsid w:val="009A71A3"/>
    <w:rsid w:val="009D2B80"/>
    <w:rsid w:val="009D7AE5"/>
    <w:rsid w:val="00A03E47"/>
    <w:rsid w:val="00A047EF"/>
    <w:rsid w:val="00A0631A"/>
    <w:rsid w:val="00A165CA"/>
    <w:rsid w:val="00A20298"/>
    <w:rsid w:val="00A306E0"/>
    <w:rsid w:val="00A31AE2"/>
    <w:rsid w:val="00A356B6"/>
    <w:rsid w:val="00A3771D"/>
    <w:rsid w:val="00A41C8A"/>
    <w:rsid w:val="00A466CC"/>
    <w:rsid w:val="00A533FA"/>
    <w:rsid w:val="00A54924"/>
    <w:rsid w:val="00A639F6"/>
    <w:rsid w:val="00A644A0"/>
    <w:rsid w:val="00A64B69"/>
    <w:rsid w:val="00A67552"/>
    <w:rsid w:val="00A67566"/>
    <w:rsid w:val="00A83BCD"/>
    <w:rsid w:val="00A86BF9"/>
    <w:rsid w:val="00A87DC2"/>
    <w:rsid w:val="00A927A9"/>
    <w:rsid w:val="00A9531A"/>
    <w:rsid w:val="00AA0380"/>
    <w:rsid w:val="00AA1D91"/>
    <w:rsid w:val="00AA327E"/>
    <w:rsid w:val="00AA4AA7"/>
    <w:rsid w:val="00AB0FBD"/>
    <w:rsid w:val="00AC5AC9"/>
    <w:rsid w:val="00AD31F3"/>
    <w:rsid w:val="00AD7865"/>
    <w:rsid w:val="00AD7FDF"/>
    <w:rsid w:val="00AE07CE"/>
    <w:rsid w:val="00AE0B2B"/>
    <w:rsid w:val="00AE273F"/>
    <w:rsid w:val="00AF0911"/>
    <w:rsid w:val="00AF6BE5"/>
    <w:rsid w:val="00B02855"/>
    <w:rsid w:val="00B02882"/>
    <w:rsid w:val="00B1184F"/>
    <w:rsid w:val="00B11D9D"/>
    <w:rsid w:val="00B152CE"/>
    <w:rsid w:val="00B16430"/>
    <w:rsid w:val="00B167F4"/>
    <w:rsid w:val="00B216E2"/>
    <w:rsid w:val="00B53B58"/>
    <w:rsid w:val="00B64B2E"/>
    <w:rsid w:val="00B675D2"/>
    <w:rsid w:val="00B675F7"/>
    <w:rsid w:val="00B676B4"/>
    <w:rsid w:val="00B83638"/>
    <w:rsid w:val="00B85216"/>
    <w:rsid w:val="00B90933"/>
    <w:rsid w:val="00B929A8"/>
    <w:rsid w:val="00B96E31"/>
    <w:rsid w:val="00B97063"/>
    <w:rsid w:val="00BA0692"/>
    <w:rsid w:val="00BA1B2C"/>
    <w:rsid w:val="00BA3BF5"/>
    <w:rsid w:val="00BA5AA4"/>
    <w:rsid w:val="00BA63B1"/>
    <w:rsid w:val="00BB5BA1"/>
    <w:rsid w:val="00BB6924"/>
    <w:rsid w:val="00BB6C2A"/>
    <w:rsid w:val="00BC3755"/>
    <w:rsid w:val="00BC4B60"/>
    <w:rsid w:val="00BD5470"/>
    <w:rsid w:val="00BE22FC"/>
    <w:rsid w:val="00BE46B9"/>
    <w:rsid w:val="00BE533A"/>
    <w:rsid w:val="00C048CA"/>
    <w:rsid w:val="00C05B42"/>
    <w:rsid w:val="00C070E4"/>
    <w:rsid w:val="00C170FF"/>
    <w:rsid w:val="00C22885"/>
    <w:rsid w:val="00C25C6C"/>
    <w:rsid w:val="00C2695E"/>
    <w:rsid w:val="00C26C1E"/>
    <w:rsid w:val="00C36D21"/>
    <w:rsid w:val="00C470E8"/>
    <w:rsid w:val="00C52A14"/>
    <w:rsid w:val="00C53382"/>
    <w:rsid w:val="00C53733"/>
    <w:rsid w:val="00C554AD"/>
    <w:rsid w:val="00C569F5"/>
    <w:rsid w:val="00C61811"/>
    <w:rsid w:val="00C71109"/>
    <w:rsid w:val="00C71FDE"/>
    <w:rsid w:val="00C77733"/>
    <w:rsid w:val="00C8258A"/>
    <w:rsid w:val="00C855EC"/>
    <w:rsid w:val="00C860E1"/>
    <w:rsid w:val="00C93913"/>
    <w:rsid w:val="00CA0BE6"/>
    <w:rsid w:val="00CA3A12"/>
    <w:rsid w:val="00CA5E4B"/>
    <w:rsid w:val="00CA705C"/>
    <w:rsid w:val="00CB3562"/>
    <w:rsid w:val="00CB3D51"/>
    <w:rsid w:val="00CB761A"/>
    <w:rsid w:val="00CD3A2B"/>
    <w:rsid w:val="00CD4A33"/>
    <w:rsid w:val="00CD7484"/>
    <w:rsid w:val="00CE33D1"/>
    <w:rsid w:val="00CE4129"/>
    <w:rsid w:val="00CE4DDF"/>
    <w:rsid w:val="00CE69ED"/>
    <w:rsid w:val="00CE760D"/>
    <w:rsid w:val="00CF3ED3"/>
    <w:rsid w:val="00D015BF"/>
    <w:rsid w:val="00D033F5"/>
    <w:rsid w:val="00D03D98"/>
    <w:rsid w:val="00D044C3"/>
    <w:rsid w:val="00D05EFC"/>
    <w:rsid w:val="00D70A8D"/>
    <w:rsid w:val="00D723E4"/>
    <w:rsid w:val="00D73A8C"/>
    <w:rsid w:val="00D744D6"/>
    <w:rsid w:val="00D84889"/>
    <w:rsid w:val="00D84E10"/>
    <w:rsid w:val="00D87EC6"/>
    <w:rsid w:val="00D92015"/>
    <w:rsid w:val="00D923BF"/>
    <w:rsid w:val="00D95F4B"/>
    <w:rsid w:val="00DA1310"/>
    <w:rsid w:val="00DA18C9"/>
    <w:rsid w:val="00DA2646"/>
    <w:rsid w:val="00DA699E"/>
    <w:rsid w:val="00DC0231"/>
    <w:rsid w:val="00DC142E"/>
    <w:rsid w:val="00DC3BF7"/>
    <w:rsid w:val="00DC5476"/>
    <w:rsid w:val="00DC7856"/>
    <w:rsid w:val="00DD44C5"/>
    <w:rsid w:val="00DE4862"/>
    <w:rsid w:val="00E0179D"/>
    <w:rsid w:val="00E0186D"/>
    <w:rsid w:val="00E01C60"/>
    <w:rsid w:val="00E02AA9"/>
    <w:rsid w:val="00E11D43"/>
    <w:rsid w:val="00E15772"/>
    <w:rsid w:val="00E20BE6"/>
    <w:rsid w:val="00E21FF7"/>
    <w:rsid w:val="00E33C07"/>
    <w:rsid w:val="00E364B8"/>
    <w:rsid w:val="00E4093F"/>
    <w:rsid w:val="00E4099A"/>
    <w:rsid w:val="00E409AF"/>
    <w:rsid w:val="00E416B5"/>
    <w:rsid w:val="00E43A5A"/>
    <w:rsid w:val="00E43DEC"/>
    <w:rsid w:val="00E50AD9"/>
    <w:rsid w:val="00E5611A"/>
    <w:rsid w:val="00E600B2"/>
    <w:rsid w:val="00E617FC"/>
    <w:rsid w:val="00E62BD0"/>
    <w:rsid w:val="00E7512F"/>
    <w:rsid w:val="00E7647E"/>
    <w:rsid w:val="00E771A5"/>
    <w:rsid w:val="00E91CB9"/>
    <w:rsid w:val="00EA02ED"/>
    <w:rsid w:val="00EA1366"/>
    <w:rsid w:val="00EA41CD"/>
    <w:rsid w:val="00EB2EE4"/>
    <w:rsid w:val="00EB4E98"/>
    <w:rsid w:val="00EB5588"/>
    <w:rsid w:val="00EB6C3A"/>
    <w:rsid w:val="00EC10ED"/>
    <w:rsid w:val="00EC6233"/>
    <w:rsid w:val="00ED1B55"/>
    <w:rsid w:val="00EE2A3A"/>
    <w:rsid w:val="00EE3257"/>
    <w:rsid w:val="00EE5B9F"/>
    <w:rsid w:val="00EF67BB"/>
    <w:rsid w:val="00F03208"/>
    <w:rsid w:val="00F05D85"/>
    <w:rsid w:val="00F05F60"/>
    <w:rsid w:val="00F10DCD"/>
    <w:rsid w:val="00F12D53"/>
    <w:rsid w:val="00F15C2C"/>
    <w:rsid w:val="00F1690E"/>
    <w:rsid w:val="00F17523"/>
    <w:rsid w:val="00F209AE"/>
    <w:rsid w:val="00F23F91"/>
    <w:rsid w:val="00F269D6"/>
    <w:rsid w:val="00F26CA2"/>
    <w:rsid w:val="00F301EF"/>
    <w:rsid w:val="00F323CC"/>
    <w:rsid w:val="00F349CD"/>
    <w:rsid w:val="00F4458E"/>
    <w:rsid w:val="00F46021"/>
    <w:rsid w:val="00F50D13"/>
    <w:rsid w:val="00F51FD3"/>
    <w:rsid w:val="00F520BB"/>
    <w:rsid w:val="00F52D73"/>
    <w:rsid w:val="00F53435"/>
    <w:rsid w:val="00F53C18"/>
    <w:rsid w:val="00F56BA6"/>
    <w:rsid w:val="00F57F9F"/>
    <w:rsid w:val="00F61E78"/>
    <w:rsid w:val="00F620B5"/>
    <w:rsid w:val="00F66D92"/>
    <w:rsid w:val="00F723DA"/>
    <w:rsid w:val="00F7275E"/>
    <w:rsid w:val="00F73794"/>
    <w:rsid w:val="00F85234"/>
    <w:rsid w:val="00F860B6"/>
    <w:rsid w:val="00F95B57"/>
    <w:rsid w:val="00FB40B9"/>
    <w:rsid w:val="00FC3458"/>
    <w:rsid w:val="00FC4401"/>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631E2"/>
  <w15:docId w15:val="{B3008018-C63C-4E44-9C99-33A0AB90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3F8"/>
    <w:pPr>
      <w:bidi/>
    </w:p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iPriority w:val="99"/>
    <w:unhideWhenUsed/>
    <w:rsid w:val="001A2B54"/>
    <w:pPr>
      <w:spacing w:after="0" w:line="240" w:lineRule="auto"/>
    </w:pPr>
    <w:rPr>
      <w:sz w:val="20"/>
      <w:szCs w:val="20"/>
    </w:rPr>
  </w:style>
  <w:style w:type="character" w:customStyle="1" w:styleId="FootnoteTextChar">
    <w:name w:val="Footnote Text Char"/>
    <w:basedOn w:val="DefaultParagraphFont"/>
    <w:link w:val="FootnoteText"/>
    <w:uiPriority w:val="99"/>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 w:type="character" w:customStyle="1" w:styleId="ListParagraphChar">
    <w:name w:val="List Paragraph Char"/>
    <w:basedOn w:val="DefaultParagraphFont"/>
    <w:link w:val="ListParagraph"/>
    <w:uiPriority w:val="34"/>
    <w:rsid w:val="00614472"/>
  </w:style>
  <w:style w:type="paragraph" w:styleId="PlainText">
    <w:name w:val="Plain Text"/>
    <w:basedOn w:val="Normal"/>
    <w:link w:val="PlainTextChar"/>
    <w:uiPriority w:val="99"/>
    <w:rsid w:val="006871BE"/>
    <w:pPr>
      <w:autoSpaceDE w:val="0"/>
      <w:autoSpaceDN w:val="0"/>
      <w:adjustRightInd w:val="0"/>
      <w:spacing w:after="0" w:line="240" w:lineRule="auto"/>
    </w:pPr>
    <w:rPr>
      <w:rFonts w:ascii="Times New Roman" w:eastAsia="Times New Roman" w:hAnsi="Times New Roman" w:cs="David"/>
      <w:sz w:val="20"/>
      <w:szCs w:val="24"/>
      <w:lang w:eastAsia="he-IL"/>
    </w:rPr>
  </w:style>
  <w:style w:type="character" w:customStyle="1" w:styleId="PlainTextChar">
    <w:name w:val="Plain Text Char"/>
    <w:basedOn w:val="DefaultParagraphFont"/>
    <w:link w:val="PlainText"/>
    <w:uiPriority w:val="99"/>
    <w:rsid w:val="006871BE"/>
    <w:rPr>
      <w:rFonts w:ascii="Times New Roman" w:eastAsia="Times New Roman" w:hAnsi="Times New Roman" w:cs="David"/>
      <w:sz w:val="20"/>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07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fs.knesset.gov.il/globaldocs/MMM/b880eefe-31ad-ed11-8152-005056aac6c3/2_b880eefe-31ad-ed11-8152-005056aac6c3_11_20069.pdf"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79B61F-4D04-4B25-96CF-4D4E48DA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1318</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כללי קידום התחרות בענף המזון (פטור לפעולות ולהסדרים שעניינם סידור מצרכים בחנות של קמעונאי גדול בעת מצב מיוחד בעורף) (הוראת שעה – חרבות ברזל), תשפ"ד-2023</dc:subject>
  <dc:creator>עורכי הדו"ח: רשות ההגבלים העסקיים</dc:creator>
  <cp:keywords/>
  <dc:description/>
  <cp:lastModifiedBy>Eyal Shapira</cp:lastModifiedBy>
  <cp:revision>11</cp:revision>
  <cp:lastPrinted>2018-03-15T09:27:00Z</cp:lastPrinted>
  <dcterms:created xsi:type="dcterms:W3CDTF">2023-11-02T12:29:00Z</dcterms:created>
  <dcterms:modified xsi:type="dcterms:W3CDTF">2024-11-21T15:17:00Z</dcterms:modified>
</cp:coreProperties>
</file>